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204C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E11F2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2985E7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w:t>
            </w:r>
            <w:r>
              <w:rPr>
                <w:rFonts w:hint="eastAsia" w:ascii="黑体" w:hAnsi="黑体" w:eastAsia="黑体"/>
                <w:sz w:val="21"/>
                <w:szCs w:val="21"/>
              </w:rPr>
              <w:t>5.</w:t>
            </w:r>
            <w:r>
              <w:rPr>
                <w:rFonts w:ascii="黑体" w:hAnsi="黑体" w:eastAsia="黑体"/>
                <w:sz w:val="21"/>
                <w:szCs w:val="21"/>
              </w:rPr>
              <w:t>240.01</w:t>
            </w:r>
            <w:r>
              <w:rPr>
                <w:rFonts w:ascii="黑体" w:hAnsi="黑体" w:eastAsia="黑体"/>
                <w:sz w:val="21"/>
                <w:szCs w:val="21"/>
              </w:rPr>
              <w:fldChar w:fldCharType="end"/>
            </w:r>
            <w:bookmarkEnd w:id="0"/>
          </w:p>
        </w:tc>
      </w:tr>
      <w:tr w14:paraId="1D8C5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C118DB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A5F358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3E88C86">
                  <w:pPr>
                    <w:pStyle w:val="50"/>
                    <w:framePr w:wrap="notBeside" w:vAnchor="page" w:hAnchor="page" w:x="1372" w:y="568"/>
                    <w:ind w:left="420" w:right="624"/>
                    <w:rPr>
                      <w:rFonts w:ascii="宋体" w:hAnsi="宋体"/>
                      <w:sz w:val="28"/>
                      <w:szCs w:val="28"/>
                    </w:rPr>
                  </w:pPr>
                </w:p>
              </w:tc>
            </w:tr>
          </w:tbl>
          <w:p w14:paraId="506F59B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70</w:t>
            </w:r>
            <w:r>
              <w:rPr>
                <w:rFonts w:ascii="黑体" w:hAnsi="黑体" w:eastAsia="黑体"/>
                <w:sz w:val="21"/>
                <w:szCs w:val="21"/>
              </w:rPr>
              <w:fldChar w:fldCharType="end"/>
            </w:r>
            <w:bookmarkEnd w:id="1"/>
          </w:p>
        </w:tc>
      </w:tr>
    </w:tbl>
    <w:p w14:paraId="7A1D3763">
      <w:pPr>
        <w:pStyle w:val="51"/>
        <w:framePr w:w="9639" w:h="961" w:hRule="exact" w:hSpace="181" w:vSpace="181" w:wrap="around" w:hAnchor="page" w:x="1305" w:y="1921"/>
        <w:rPr>
          <w:rFonts w:ascii="黑体" w:hAnsi="黑体" w:eastAsia="黑体"/>
          <w:b w:val="0"/>
          <w:bCs w:val="0"/>
          <w:w w:val="100"/>
          <w:sz w:val="84"/>
          <w:szCs w:val="84"/>
        </w:rPr>
      </w:pPr>
      <w:bookmarkStart w:id="2" w:name="_Hlk26473981"/>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2"/>
    <w:p w14:paraId="7CD0E44B">
      <w:pPr>
        <w:pStyle w:val="196"/>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1</w:t>
      </w:r>
      <w:r>
        <w:rPr>
          <w:rFonts w:hint="eastAsia"/>
          <w:lang w:val="en-US" w:eastAsia="zh-CN"/>
        </w:rPr>
        <w:t>9</w:t>
      </w:r>
      <w:bookmarkStart w:id="132" w:name="_GoBack"/>
      <w:bookmarkEnd w:id="132"/>
      <w:r>
        <w:rPr>
          <w:rFonts w:hAnsi="黑体"/>
        </w:rPr>
        <w:t>—</w:t>
      </w:r>
      <w:r>
        <w:t>2025</w:t>
      </w:r>
    </w:p>
    <w:p w14:paraId="23753AC0">
      <w:pPr>
        <w:pStyle w:val="197"/>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17B23D0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CDA0B0F">
      <w:pPr>
        <w:pStyle w:val="51"/>
        <w:framePr w:w="9639" w:h="6976" w:hRule="exact" w:hSpace="0" w:vSpace="0" w:wrap="around" w:hAnchor="page" w:y="6408"/>
        <w:jc w:val="center"/>
        <w:rPr>
          <w:rFonts w:ascii="黑体" w:hAnsi="黑体" w:eastAsia="黑体"/>
          <w:b w:val="0"/>
          <w:bCs w:val="0"/>
          <w:w w:val="100"/>
        </w:rPr>
      </w:pPr>
    </w:p>
    <w:p w14:paraId="0236FD6D">
      <w:pPr>
        <w:pStyle w:val="198"/>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t>自动化收集公开数据通用规范</w:t>
      </w:r>
      <w:r>
        <w:fldChar w:fldCharType="end"/>
      </w:r>
      <w:bookmarkEnd w:id="5"/>
    </w:p>
    <w:p w14:paraId="7962A39E">
      <w:pPr>
        <w:framePr w:w="9639" w:h="6974" w:hRule="exact" w:wrap="around" w:vAnchor="page" w:hAnchor="page" w:x="1419" w:y="6408" w:anchorLock="1"/>
        <w:ind w:left="-1418"/>
      </w:pPr>
    </w:p>
    <w:p w14:paraId="38B7D934">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eastAsia="黑体"/>
          <w:szCs w:val="28"/>
        </w:rPr>
        <w:t>General Specification for Automated Collection of Public Data</w:t>
      </w:r>
      <w:r>
        <w:rPr>
          <w:rFonts w:eastAsia="黑体"/>
          <w:szCs w:val="28"/>
        </w:rPr>
        <w:fldChar w:fldCharType="end"/>
      </w:r>
      <w:bookmarkEnd w:id="6"/>
    </w:p>
    <w:p w14:paraId="1920583B">
      <w:pPr>
        <w:framePr w:w="9639" w:h="6974" w:hRule="exact" w:wrap="around" w:vAnchor="page" w:hAnchor="page" w:x="1419" w:y="6408" w:anchorLock="1"/>
        <w:spacing w:line="760" w:lineRule="exact"/>
        <w:ind w:left="-1418"/>
      </w:pPr>
    </w:p>
    <w:p w14:paraId="5D50C3A0">
      <w:pPr>
        <w:pStyle w:val="126"/>
        <w:framePr w:w="9639" w:h="6974" w:hRule="exact" w:wrap="around" w:vAnchor="page" w:hAnchor="page" w:x="1419" w:y="6408" w:anchorLock="1"/>
        <w:textAlignment w:val="bottom"/>
        <w:rPr>
          <w:rFonts w:eastAsia="黑体"/>
          <w:szCs w:val="28"/>
        </w:rPr>
      </w:pPr>
    </w:p>
    <w:p w14:paraId="142E3174">
      <w:pPr>
        <w:pStyle w:val="194"/>
        <w:framePr w:wrap="around" w:y="14176"/>
      </w:pPr>
      <w:r>
        <w:rPr>
          <w:rFonts w:ascii="黑体"/>
        </w:rPr>
        <w:t>2025</w:t>
      </w:r>
      <w:r>
        <w:t xml:space="preserve"> </w:t>
      </w:r>
      <w:r>
        <w:rPr>
          <w:rFonts w:ascii="黑体"/>
        </w:rPr>
        <w:t>-</w:t>
      </w:r>
      <w:r>
        <w:t xml:space="preserve"> </w:t>
      </w:r>
      <w:r>
        <w:rPr>
          <w:rFonts w:ascii="黑体"/>
        </w:rPr>
        <w:t>10</w:t>
      </w:r>
      <w:r>
        <w:t xml:space="preserve"> </w:t>
      </w:r>
      <w:r>
        <w:rPr>
          <w:rFonts w:ascii="黑体"/>
        </w:rPr>
        <w:t>-</w:t>
      </w:r>
      <w:r>
        <w:t xml:space="preserve"> </w:t>
      </w:r>
      <w:r>
        <w:rPr>
          <w:rFonts w:ascii="黑体"/>
        </w:rPr>
        <w:t>XX</w:t>
      </w:r>
      <w:r>
        <w:rPr>
          <w:rFonts w:hint="eastAsia"/>
        </w:rPr>
        <w:t>发布</w:t>
      </w:r>
    </w:p>
    <w:p w14:paraId="24E01BF3">
      <w:pPr>
        <w:pStyle w:val="195"/>
        <w:framePr w:wrap="around" w:y="14176"/>
      </w:pPr>
      <w:r>
        <w:rPr>
          <w:rFonts w:ascii="黑体"/>
        </w:rPr>
        <w:t>2025</w:t>
      </w:r>
      <w:r>
        <w:t xml:space="preserve"> </w:t>
      </w:r>
      <w:r>
        <w:rPr>
          <w:rFonts w:ascii="黑体"/>
        </w:rPr>
        <w:t>-</w:t>
      </w:r>
      <w:r>
        <w:t xml:space="preserve"> </w:t>
      </w:r>
      <w:r>
        <w:rPr>
          <w:rFonts w:ascii="黑体"/>
        </w:rPr>
        <w:t>10</w:t>
      </w:r>
      <w:r>
        <w:t xml:space="preserve"> </w:t>
      </w:r>
      <w:r>
        <w:rPr>
          <w:rFonts w:ascii="黑体"/>
        </w:rPr>
        <w:t>-</w:t>
      </w:r>
      <w:r>
        <w:t xml:space="preserve"> </w:t>
      </w:r>
      <w:r>
        <w:rPr>
          <w:rFonts w:ascii="黑体"/>
        </w:rPr>
        <w:t>XX</w:t>
      </w:r>
      <w:r>
        <w:rPr>
          <w:rFonts w:hint="eastAsia"/>
        </w:rPr>
        <w:t>实施</w:t>
      </w:r>
    </w:p>
    <w:p w14:paraId="771E5349">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7" w:name="fm"/>
      <w:r>
        <w:rPr>
          <w:rFonts w:hAnsi="黑体"/>
          <w:w w:val="100"/>
          <w:sz w:val="28"/>
        </w:rPr>
        <w:instrText xml:space="preserve"> FORMTEXT </w:instrText>
      </w:r>
      <w:r>
        <w:rPr>
          <w:rFonts w:hAnsi="黑体"/>
          <w:w w:val="100"/>
          <w:sz w:val="28"/>
        </w:rPr>
        <w:fldChar w:fldCharType="separate"/>
      </w:r>
      <w:r>
        <w:rPr>
          <w:rFonts w:hint="eastAsia" w:hAnsi="黑体"/>
          <w:w w:val="100"/>
          <w:sz w:val="28"/>
        </w:rPr>
        <w:t>大连市标准化协会</w:t>
      </w:r>
      <w:r>
        <w:rPr>
          <w:rFonts w:hAnsi="黑体"/>
          <w:w w:val="100"/>
          <w:sz w:val="28"/>
        </w:rPr>
        <w:fldChar w:fldCharType="end"/>
      </w:r>
      <w:bookmarkEnd w:id="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ABEA33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D93B89">
      <w:pPr>
        <w:pStyle w:val="92"/>
        <w:spacing w:after="360"/>
      </w:pPr>
      <w:bookmarkStart w:id="8" w:name="BookMark1"/>
      <w:bookmarkStart w:id="9" w:name="_Toc177998267"/>
      <w:bookmarkStart w:id="10" w:name="_Toc169601832"/>
      <w:bookmarkStart w:id="11" w:name="_Toc211005083"/>
      <w:bookmarkStart w:id="12" w:name="_Toc209174533"/>
      <w:r>
        <w:rPr>
          <w:rFonts w:hint="eastAsia"/>
          <w:spacing w:val="320"/>
        </w:rPr>
        <w:t>目</w:t>
      </w:r>
      <w:r>
        <w:rPr>
          <w:rFonts w:hint="eastAsia"/>
        </w:rPr>
        <w:t>次</w:t>
      </w:r>
    </w:p>
    <w:p w14:paraId="7DE15F37">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"_Toc211088659" </w:instrText>
      </w:r>
      <w:r>
        <w:fldChar w:fldCharType="separate"/>
      </w:r>
      <w:r>
        <w:rPr>
          <w:rStyle w:val="33"/>
          <w:rFonts w:hint="eastAsia"/>
        </w:rPr>
        <w:t>前言</w:t>
      </w:r>
      <w:r>
        <w:tab/>
      </w:r>
      <w:r>
        <w:fldChar w:fldCharType="begin"/>
      </w:r>
      <w:r>
        <w:instrText xml:space="preserve"> PAGEREF _Toc211088659 \h </w:instrText>
      </w:r>
      <w:r>
        <w:fldChar w:fldCharType="separate"/>
      </w:r>
      <w:r>
        <w:t>III</w:t>
      </w:r>
      <w:r>
        <w:fldChar w:fldCharType="end"/>
      </w:r>
      <w:r>
        <w:fldChar w:fldCharType="end"/>
      </w:r>
    </w:p>
    <w:p w14:paraId="45581EC2">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"_Toc211088660" </w:instrText>
      </w:r>
      <w:r>
        <w:fldChar w:fldCharType="separate"/>
      </w:r>
      <w:r>
        <w:rPr>
          <w:rStyle w:val="33"/>
        </w:rPr>
        <w:t xml:space="preserve">1 </w:t>
      </w:r>
      <w:r>
        <w:rPr>
          <w:rStyle w:val="33"/>
          <w:rFonts w:hint="eastAsia"/>
        </w:rPr>
        <w:t xml:space="preserve"> 范围</w:t>
      </w:r>
      <w:r>
        <w:tab/>
      </w:r>
      <w:r>
        <w:fldChar w:fldCharType="begin"/>
      </w:r>
      <w:r>
        <w:instrText xml:space="preserve"> PAGEREF _Toc211088660 \h </w:instrText>
      </w:r>
      <w:r>
        <w:fldChar w:fldCharType="separate"/>
      </w:r>
      <w:r>
        <w:t>1</w:t>
      </w:r>
      <w:r>
        <w:fldChar w:fldCharType="end"/>
      </w:r>
      <w:r>
        <w:fldChar w:fldCharType="end"/>
      </w:r>
    </w:p>
    <w:p w14:paraId="24772C3C">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"_Toc211088661"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_Toc211088661 \h </w:instrText>
      </w:r>
      <w:r>
        <w:fldChar w:fldCharType="separate"/>
      </w:r>
      <w:r>
        <w:t>1</w:t>
      </w:r>
      <w:r>
        <w:fldChar w:fldCharType="end"/>
      </w:r>
      <w:r>
        <w:fldChar w:fldCharType="end"/>
      </w:r>
    </w:p>
    <w:p w14:paraId="5E8AD83E">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"_Toc211088662"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_Toc211088662 \h </w:instrText>
      </w:r>
      <w:r>
        <w:fldChar w:fldCharType="separate"/>
      </w:r>
      <w:r>
        <w:t>1</w:t>
      </w:r>
      <w:r>
        <w:fldChar w:fldCharType="end"/>
      </w:r>
      <w:r>
        <w:fldChar w:fldCharType="end"/>
      </w:r>
    </w:p>
    <w:p w14:paraId="1D51F506">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"_Toc211088666" </w:instrText>
      </w:r>
      <w:r>
        <w:fldChar w:fldCharType="separate"/>
      </w:r>
      <w:r>
        <w:rPr>
          <w:rStyle w:val="33"/>
        </w:rPr>
        <w:t xml:space="preserve">4 </w:t>
      </w:r>
      <w:r>
        <w:rPr>
          <w:rStyle w:val="33"/>
          <w:rFonts w:hint="eastAsia"/>
        </w:rPr>
        <w:t xml:space="preserve"> 基本原则</w:t>
      </w:r>
      <w:r>
        <w:tab/>
      </w:r>
      <w:r>
        <w:fldChar w:fldCharType="begin"/>
      </w:r>
      <w:r>
        <w:instrText xml:space="preserve"> PAGEREF _Toc211088666 \h </w:instrText>
      </w:r>
      <w:r>
        <w:fldChar w:fldCharType="separate"/>
      </w:r>
      <w:r>
        <w:t>1</w:t>
      </w:r>
      <w:r>
        <w:fldChar w:fldCharType="end"/>
      </w:r>
      <w:r>
        <w:fldChar w:fldCharType="end"/>
      </w:r>
    </w:p>
    <w:p w14:paraId="305EF0CE">
      <w:pPr>
        <w:pStyle w:val="24"/>
        <w:rPr>
          <w:rFonts w:asciiTheme="minorHAnsi" w:hAnsiTheme="minorHAnsi" w:eastAsiaTheme="minorEastAsia" w:cstheme="minorBidi"/>
          <w:szCs w:val="22"/>
        </w:rPr>
      </w:pPr>
      <w:r>
        <w:fldChar w:fldCharType="begin"/>
      </w:r>
      <w:r>
        <w:instrText xml:space="preserve"> HYPERLINK \l "_Toc211088667" </w:instrText>
      </w:r>
      <w:r>
        <w:fldChar w:fldCharType="separate"/>
      </w:r>
      <w:r>
        <w:rPr>
          <w:rStyle w:val="33"/>
          <w14:scene3d>
            <w14:lightRig w14:rig="threePt" w14:dir="t">
              <w14:rot w14:lat="0" w14:lon="0" w14:rev="0"/>
            </w14:lightRig>
          </w14:scene3d>
        </w:rPr>
        <w:t xml:space="preserve">4.1 </w:t>
      </w:r>
      <w:r>
        <w:rPr>
          <w:rStyle w:val="33"/>
          <w:rFonts w:hint="eastAsia"/>
        </w:rPr>
        <w:t xml:space="preserve"> 合法合规性</w:t>
      </w:r>
      <w:r>
        <w:tab/>
      </w:r>
      <w:r>
        <w:fldChar w:fldCharType="begin"/>
      </w:r>
      <w:r>
        <w:instrText xml:space="preserve"> PAGEREF _Toc211088667 \h </w:instrText>
      </w:r>
      <w:r>
        <w:fldChar w:fldCharType="separate"/>
      </w:r>
      <w:r>
        <w:t>1</w:t>
      </w:r>
      <w:r>
        <w:fldChar w:fldCharType="end"/>
      </w:r>
      <w:r>
        <w:fldChar w:fldCharType="end"/>
      </w:r>
    </w:p>
    <w:p w14:paraId="696D8796">
      <w:pPr>
        <w:pStyle w:val="24"/>
        <w:rPr>
          <w:rFonts w:asciiTheme="minorHAnsi" w:hAnsiTheme="minorHAnsi" w:eastAsiaTheme="minorEastAsia" w:cstheme="minorBidi"/>
          <w:szCs w:val="22"/>
        </w:rPr>
      </w:pPr>
      <w:r>
        <w:fldChar w:fldCharType="begin"/>
      </w:r>
      <w:r>
        <w:instrText xml:space="preserve"> HYPERLINK \l "_Toc211088668" </w:instrText>
      </w:r>
      <w:r>
        <w:fldChar w:fldCharType="separate"/>
      </w:r>
      <w:r>
        <w:rPr>
          <w:rStyle w:val="33"/>
          <w14:scene3d>
            <w14:lightRig w14:rig="threePt" w14:dir="t">
              <w14:rot w14:lat="0" w14:lon="0" w14:rev="0"/>
            </w14:lightRig>
          </w14:scene3d>
        </w:rPr>
        <w:t xml:space="preserve">4.2 </w:t>
      </w:r>
      <w:r>
        <w:rPr>
          <w:rStyle w:val="33"/>
          <w:rFonts w:hint="eastAsia"/>
        </w:rPr>
        <w:t xml:space="preserve"> 最小必要</w:t>
      </w:r>
      <w:r>
        <w:tab/>
      </w:r>
      <w:r>
        <w:fldChar w:fldCharType="begin"/>
      </w:r>
      <w:r>
        <w:instrText xml:space="preserve"> PAGEREF _Toc211088668 \h </w:instrText>
      </w:r>
      <w:r>
        <w:fldChar w:fldCharType="separate"/>
      </w:r>
      <w:r>
        <w:t>1</w:t>
      </w:r>
      <w:r>
        <w:fldChar w:fldCharType="end"/>
      </w:r>
      <w:r>
        <w:fldChar w:fldCharType="end"/>
      </w:r>
    </w:p>
    <w:p w14:paraId="574E4CD0">
      <w:pPr>
        <w:pStyle w:val="24"/>
        <w:rPr>
          <w:rFonts w:asciiTheme="minorHAnsi" w:hAnsiTheme="minorHAnsi" w:eastAsiaTheme="minorEastAsia" w:cstheme="minorBidi"/>
          <w:szCs w:val="22"/>
        </w:rPr>
      </w:pPr>
      <w:r>
        <w:fldChar w:fldCharType="begin"/>
      </w:r>
      <w:r>
        <w:instrText xml:space="preserve"> HYPERLINK \l "_Toc211088669" </w:instrText>
      </w:r>
      <w:r>
        <w:fldChar w:fldCharType="separate"/>
      </w:r>
      <w:r>
        <w:rPr>
          <w:rStyle w:val="33"/>
          <w14:scene3d>
            <w14:lightRig w14:rig="threePt" w14:dir="t">
              <w14:rot w14:lat="0" w14:lon="0" w14:rev="0"/>
            </w14:lightRig>
          </w14:scene3d>
        </w:rPr>
        <w:t xml:space="preserve">4.3 </w:t>
      </w:r>
      <w:r>
        <w:rPr>
          <w:rStyle w:val="33"/>
          <w:rFonts w:hint="eastAsia"/>
        </w:rPr>
        <w:t xml:space="preserve"> 安全可控</w:t>
      </w:r>
      <w:r>
        <w:tab/>
      </w:r>
      <w:r>
        <w:fldChar w:fldCharType="begin"/>
      </w:r>
      <w:r>
        <w:instrText xml:space="preserve"> PAGEREF _Toc211088669 \h </w:instrText>
      </w:r>
      <w:r>
        <w:fldChar w:fldCharType="separate"/>
      </w:r>
      <w:r>
        <w:t>1</w:t>
      </w:r>
      <w:r>
        <w:fldChar w:fldCharType="end"/>
      </w:r>
      <w:r>
        <w:fldChar w:fldCharType="end"/>
      </w:r>
    </w:p>
    <w:p w14:paraId="44309EE6">
      <w:pPr>
        <w:pStyle w:val="24"/>
        <w:rPr>
          <w:rFonts w:asciiTheme="minorHAnsi" w:hAnsiTheme="minorHAnsi" w:eastAsiaTheme="minorEastAsia" w:cstheme="minorBidi"/>
          <w:szCs w:val="22"/>
        </w:rPr>
      </w:pPr>
      <w:r>
        <w:fldChar w:fldCharType="begin"/>
      </w:r>
      <w:r>
        <w:instrText xml:space="preserve"> HYPERLINK \l "_Toc211088670" </w:instrText>
      </w:r>
      <w:r>
        <w:fldChar w:fldCharType="separate"/>
      </w:r>
      <w:r>
        <w:rPr>
          <w:rStyle w:val="33"/>
          <w14:scene3d>
            <w14:lightRig w14:rig="threePt" w14:dir="t">
              <w14:rot w14:lat="0" w14:lon="0" w14:rev="0"/>
            </w14:lightRig>
          </w14:scene3d>
        </w:rPr>
        <w:t xml:space="preserve">4.4 </w:t>
      </w:r>
      <w:r>
        <w:rPr>
          <w:rStyle w:val="33"/>
          <w:rFonts w:hint="eastAsia"/>
        </w:rPr>
        <w:t xml:space="preserve"> 生态责任</w:t>
      </w:r>
      <w:r>
        <w:tab/>
      </w:r>
      <w:r>
        <w:fldChar w:fldCharType="begin"/>
      </w:r>
      <w:r>
        <w:instrText xml:space="preserve"> PAGEREF _Toc211088670 \h </w:instrText>
      </w:r>
      <w:r>
        <w:fldChar w:fldCharType="separate"/>
      </w:r>
      <w:r>
        <w:t>2</w:t>
      </w:r>
      <w:r>
        <w:fldChar w:fldCharType="end"/>
      </w:r>
      <w:r>
        <w:fldChar w:fldCharType="end"/>
      </w:r>
    </w:p>
    <w:p w14:paraId="0B4F0822">
      <w:pPr>
        <w:pStyle w:val="24"/>
        <w:rPr>
          <w:rFonts w:asciiTheme="minorHAnsi" w:hAnsiTheme="minorHAnsi" w:eastAsiaTheme="minorEastAsia" w:cstheme="minorBidi"/>
          <w:szCs w:val="22"/>
        </w:rPr>
      </w:pPr>
      <w:r>
        <w:fldChar w:fldCharType="begin"/>
      </w:r>
      <w:r>
        <w:instrText xml:space="preserve"> HYPERLINK \l "_Toc211088671" </w:instrText>
      </w:r>
      <w:r>
        <w:fldChar w:fldCharType="separate"/>
      </w:r>
      <w:r>
        <w:rPr>
          <w:rStyle w:val="33"/>
          <w14:scene3d>
            <w14:lightRig w14:rig="threePt" w14:dir="t">
              <w14:rot w14:lat="0" w14:lon="0" w14:rev="0"/>
            </w14:lightRig>
          </w14:scene3d>
        </w:rPr>
        <w:t xml:space="preserve">4.5 </w:t>
      </w:r>
      <w:r>
        <w:rPr>
          <w:rStyle w:val="33"/>
          <w:rFonts w:hint="eastAsia"/>
        </w:rPr>
        <w:t xml:space="preserve"> 善意访问（</w:t>
      </w:r>
      <w:r>
        <w:rPr>
          <w:rStyle w:val="33"/>
        </w:rPr>
        <w:t>Robots</w:t>
      </w:r>
      <w:r>
        <w:rPr>
          <w:rStyle w:val="33"/>
          <w:rFonts w:hint="eastAsia"/>
        </w:rPr>
        <w:t>协议）</w:t>
      </w:r>
      <w:r>
        <w:tab/>
      </w:r>
      <w:r>
        <w:fldChar w:fldCharType="begin"/>
      </w:r>
      <w:r>
        <w:instrText xml:space="preserve"> PAGEREF _Toc211088671 \h </w:instrText>
      </w:r>
      <w:r>
        <w:fldChar w:fldCharType="separate"/>
      </w:r>
      <w:r>
        <w:t>2</w:t>
      </w:r>
      <w:r>
        <w:fldChar w:fldCharType="end"/>
      </w:r>
      <w:r>
        <w:fldChar w:fldCharType="end"/>
      </w:r>
    </w:p>
    <w:p w14:paraId="0B8FD0F5">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"_Toc211088672" </w:instrText>
      </w:r>
      <w:r>
        <w:fldChar w:fldCharType="separate"/>
      </w:r>
      <w:r>
        <w:rPr>
          <w:rStyle w:val="33"/>
        </w:rPr>
        <w:t xml:space="preserve">5 </w:t>
      </w:r>
      <w:r>
        <w:rPr>
          <w:rStyle w:val="33"/>
          <w:rFonts w:hint="eastAsia"/>
        </w:rPr>
        <w:t xml:space="preserve"> 数据分类与收集</w:t>
      </w:r>
      <w:r>
        <w:tab/>
      </w:r>
      <w:r>
        <w:fldChar w:fldCharType="begin"/>
      </w:r>
      <w:r>
        <w:instrText xml:space="preserve"> PAGEREF _Toc211088672 \h </w:instrText>
      </w:r>
      <w:r>
        <w:fldChar w:fldCharType="separate"/>
      </w:r>
      <w:r>
        <w:t>2</w:t>
      </w:r>
      <w:r>
        <w:fldChar w:fldCharType="end"/>
      </w:r>
      <w:r>
        <w:fldChar w:fldCharType="end"/>
      </w:r>
    </w:p>
    <w:p w14:paraId="7B326CF0">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"_Toc211088675" </w:instrText>
      </w:r>
      <w:r>
        <w:fldChar w:fldCharType="separate"/>
      </w:r>
      <w:r>
        <w:rPr>
          <w:rStyle w:val="33"/>
        </w:rPr>
        <w:t xml:space="preserve">6 </w:t>
      </w:r>
      <w:r>
        <w:rPr>
          <w:rStyle w:val="33"/>
          <w:rFonts w:hint="eastAsia"/>
        </w:rPr>
        <w:t xml:space="preserve"> 技术要求</w:t>
      </w:r>
      <w:r>
        <w:tab/>
      </w:r>
      <w:r>
        <w:fldChar w:fldCharType="begin"/>
      </w:r>
      <w:r>
        <w:instrText xml:space="preserve"> PAGEREF _Toc211088675 \h </w:instrText>
      </w:r>
      <w:r>
        <w:fldChar w:fldCharType="separate"/>
      </w:r>
      <w:r>
        <w:t>2</w:t>
      </w:r>
      <w:r>
        <w:fldChar w:fldCharType="end"/>
      </w:r>
      <w:r>
        <w:fldChar w:fldCharType="end"/>
      </w:r>
    </w:p>
    <w:p w14:paraId="0FFDDDF7">
      <w:pPr>
        <w:pStyle w:val="24"/>
        <w:rPr>
          <w:rFonts w:asciiTheme="minorHAnsi" w:hAnsiTheme="minorHAnsi" w:eastAsiaTheme="minorEastAsia" w:cstheme="minorBidi"/>
          <w:szCs w:val="22"/>
        </w:rPr>
      </w:pPr>
      <w:r>
        <w:fldChar w:fldCharType="begin"/>
      </w:r>
      <w:r>
        <w:instrText xml:space="preserve"> HYPERLINK \l "_Toc211088676" </w:instrText>
      </w:r>
      <w:r>
        <w:fldChar w:fldCharType="separate"/>
      </w:r>
      <w:r>
        <w:rPr>
          <w:rStyle w:val="33"/>
          <w14:scene3d>
            <w14:lightRig w14:rig="threePt" w14:dir="t">
              <w14:rot w14:lat="0" w14:lon="0" w14:rev="0"/>
            </w14:lightRig>
          </w14:scene3d>
        </w:rPr>
        <w:t xml:space="preserve">6.1 </w:t>
      </w:r>
      <w:r>
        <w:rPr>
          <w:rStyle w:val="33"/>
          <w:rFonts w:hint="eastAsia"/>
        </w:rPr>
        <w:t xml:space="preserve"> 自动化验证</w:t>
      </w:r>
      <w:r>
        <w:tab/>
      </w:r>
      <w:r>
        <w:fldChar w:fldCharType="begin"/>
      </w:r>
      <w:r>
        <w:instrText xml:space="preserve"> PAGEREF _Toc211088676 \h </w:instrText>
      </w:r>
      <w:r>
        <w:fldChar w:fldCharType="separate"/>
      </w:r>
      <w:r>
        <w:t>2</w:t>
      </w:r>
      <w:r>
        <w:fldChar w:fldCharType="end"/>
      </w:r>
      <w:r>
        <w:fldChar w:fldCharType="end"/>
      </w:r>
    </w:p>
    <w:p w14:paraId="3C285627">
      <w:pPr>
        <w:pStyle w:val="24"/>
        <w:rPr>
          <w:rFonts w:asciiTheme="minorHAnsi" w:hAnsiTheme="minorHAnsi" w:eastAsiaTheme="minorEastAsia" w:cstheme="minorBidi"/>
          <w:szCs w:val="22"/>
        </w:rPr>
      </w:pPr>
      <w:r>
        <w:fldChar w:fldCharType="begin"/>
      </w:r>
      <w:r>
        <w:instrText xml:space="preserve"> HYPERLINK \l "_Toc211088677" </w:instrText>
      </w:r>
      <w:r>
        <w:fldChar w:fldCharType="separate"/>
      </w:r>
      <w:r>
        <w:rPr>
          <w:rStyle w:val="33"/>
          <w14:scene3d>
            <w14:lightRig w14:rig="threePt" w14:dir="t">
              <w14:rot w14:lat="0" w14:lon="0" w14:rev="0"/>
            </w14:lightRig>
          </w14:scene3d>
        </w:rPr>
        <w:t xml:space="preserve">6.2 </w:t>
      </w:r>
      <w:r>
        <w:rPr>
          <w:rStyle w:val="33"/>
          <w:rFonts w:hint="eastAsia"/>
        </w:rPr>
        <w:t xml:space="preserve"> 个人信息处理</w:t>
      </w:r>
      <w:r>
        <w:tab/>
      </w:r>
      <w:r>
        <w:fldChar w:fldCharType="begin"/>
      </w:r>
      <w:r>
        <w:instrText xml:space="preserve"> PAGEREF _Toc211088677 \h </w:instrText>
      </w:r>
      <w:r>
        <w:fldChar w:fldCharType="separate"/>
      </w:r>
      <w:r>
        <w:t>2</w:t>
      </w:r>
      <w:r>
        <w:fldChar w:fldCharType="end"/>
      </w:r>
      <w:r>
        <w:fldChar w:fldCharType="end"/>
      </w:r>
    </w:p>
    <w:p w14:paraId="1CFC6565">
      <w:pPr>
        <w:pStyle w:val="24"/>
        <w:rPr>
          <w:rFonts w:asciiTheme="minorHAnsi" w:hAnsiTheme="minorHAnsi" w:eastAsiaTheme="minorEastAsia" w:cstheme="minorBidi"/>
          <w:szCs w:val="22"/>
        </w:rPr>
      </w:pPr>
      <w:r>
        <w:fldChar w:fldCharType="begin"/>
      </w:r>
      <w:r>
        <w:instrText xml:space="preserve"> HYPERLINK \l "_Toc211088678" </w:instrText>
      </w:r>
      <w:r>
        <w:fldChar w:fldCharType="separate"/>
      </w:r>
      <w:r>
        <w:rPr>
          <w:rStyle w:val="33"/>
          <w14:scene3d>
            <w14:lightRig w14:rig="threePt" w14:dir="t">
              <w14:rot w14:lat="0" w14:lon="0" w14:rev="0"/>
            </w14:lightRig>
          </w14:scene3d>
        </w:rPr>
        <w:t xml:space="preserve">6.3 </w:t>
      </w:r>
      <w:r>
        <w:rPr>
          <w:rStyle w:val="33"/>
          <w:rFonts w:hint="eastAsia"/>
        </w:rPr>
        <w:t xml:space="preserve"> 安全保障</w:t>
      </w:r>
      <w:r>
        <w:tab/>
      </w:r>
      <w:r>
        <w:fldChar w:fldCharType="begin"/>
      </w:r>
      <w:r>
        <w:instrText xml:space="preserve"> PAGEREF _Toc211088678 \h </w:instrText>
      </w:r>
      <w:r>
        <w:fldChar w:fldCharType="separate"/>
      </w:r>
      <w:r>
        <w:t>2</w:t>
      </w:r>
      <w:r>
        <w:fldChar w:fldCharType="end"/>
      </w:r>
      <w:r>
        <w:fldChar w:fldCharType="end"/>
      </w:r>
    </w:p>
    <w:p w14:paraId="1C41A21C">
      <w:pPr>
        <w:pStyle w:val="24"/>
        <w:rPr>
          <w:rFonts w:asciiTheme="minorHAnsi" w:hAnsiTheme="minorHAnsi" w:eastAsiaTheme="minorEastAsia" w:cstheme="minorBidi"/>
          <w:szCs w:val="22"/>
        </w:rPr>
      </w:pPr>
      <w:r>
        <w:fldChar w:fldCharType="begin"/>
      </w:r>
      <w:r>
        <w:instrText xml:space="preserve"> HYPERLINK \l "_Toc211088679" </w:instrText>
      </w:r>
      <w:r>
        <w:fldChar w:fldCharType="separate"/>
      </w:r>
      <w:r>
        <w:rPr>
          <w:rStyle w:val="33"/>
          <w14:scene3d>
            <w14:lightRig w14:rig="threePt" w14:dir="t">
              <w14:rot w14:lat="0" w14:lon="0" w14:rev="0"/>
            </w14:lightRig>
          </w14:scene3d>
        </w:rPr>
        <w:t xml:space="preserve">6.4 </w:t>
      </w:r>
      <w:r>
        <w:rPr>
          <w:rStyle w:val="33"/>
          <w:rFonts w:hint="eastAsia"/>
        </w:rPr>
        <w:t xml:space="preserve"> 合规性自我评估</w:t>
      </w:r>
      <w:r>
        <w:tab/>
      </w:r>
      <w:r>
        <w:fldChar w:fldCharType="begin"/>
      </w:r>
      <w:r>
        <w:instrText xml:space="preserve"> PAGEREF _Toc211088679 \h </w:instrText>
      </w:r>
      <w:r>
        <w:fldChar w:fldCharType="separate"/>
      </w:r>
      <w:r>
        <w:t>2</w:t>
      </w:r>
      <w:r>
        <w:fldChar w:fldCharType="end"/>
      </w:r>
      <w:r>
        <w:fldChar w:fldCharType="end"/>
      </w:r>
    </w:p>
    <w:p w14:paraId="7400EB8A">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"_Toc211088680" </w:instrText>
      </w:r>
      <w:r>
        <w:fldChar w:fldCharType="separate"/>
      </w:r>
      <w:r>
        <w:rPr>
          <w:rStyle w:val="33"/>
        </w:rPr>
        <w:t xml:space="preserve">7 </w:t>
      </w:r>
      <w:r>
        <w:rPr>
          <w:rStyle w:val="33"/>
          <w:rFonts w:hint="eastAsia"/>
        </w:rPr>
        <w:t xml:space="preserve"> 数据安全</w:t>
      </w:r>
      <w:r>
        <w:tab/>
      </w:r>
      <w:r>
        <w:fldChar w:fldCharType="begin"/>
      </w:r>
      <w:r>
        <w:instrText xml:space="preserve"> PAGEREF _Toc211088680 \h </w:instrText>
      </w:r>
      <w:r>
        <w:fldChar w:fldCharType="separate"/>
      </w:r>
      <w:r>
        <w:t>2</w:t>
      </w:r>
      <w:r>
        <w:fldChar w:fldCharType="end"/>
      </w:r>
      <w:r>
        <w:fldChar w:fldCharType="end"/>
      </w:r>
    </w:p>
    <w:p w14:paraId="4FEDC518">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"_Toc211088681" </w:instrText>
      </w:r>
      <w:r>
        <w:fldChar w:fldCharType="separate"/>
      </w:r>
      <w:r>
        <w:rPr>
          <w:rStyle w:val="33"/>
        </w:rPr>
        <w:t xml:space="preserve">8 </w:t>
      </w:r>
      <w:r>
        <w:rPr>
          <w:rStyle w:val="33"/>
          <w:rFonts w:hint="eastAsia"/>
        </w:rPr>
        <w:t xml:space="preserve"> 数据管理</w:t>
      </w:r>
      <w:r>
        <w:tab/>
      </w:r>
      <w:r>
        <w:fldChar w:fldCharType="begin"/>
      </w:r>
      <w:r>
        <w:instrText xml:space="preserve"> PAGEREF _Toc211088681 \h </w:instrText>
      </w:r>
      <w:r>
        <w:fldChar w:fldCharType="separate"/>
      </w:r>
      <w:r>
        <w:t>3</w:t>
      </w:r>
      <w:r>
        <w:fldChar w:fldCharType="end"/>
      </w:r>
      <w:r>
        <w:fldChar w:fldCharType="end"/>
      </w:r>
    </w:p>
    <w:p w14:paraId="5392C08A">
      <w:pPr>
        <w:pStyle w:val="24"/>
        <w:rPr>
          <w:rFonts w:asciiTheme="minorHAnsi" w:hAnsiTheme="minorHAnsi" w:eastAsiaTheme="minorEastAsia" w:cstheme="minorBidi"/>
          <w:szCs w:val="22"/>
        </w:rPr>
      </w:pPr>
      <w:r>
        <w:fldChar w:fldCharType="begin"/>
      </w:r>
      <w:r>
        <w:instrText xml:space="preserve"> HYPERLINK \l "_Toc211088682" </w:instrText>
      </w:r>
      <w:r>
        <w:fldChar w:fldCharType="separate"/>
      </w:r>
      <w:r>
        <w:rPr>
          <w:rStyle w:val="33"/>
          <w14:scene3d>
            <w14:lightRig w14:rig="threePt" w14:dir="t">
              <w14:rot w14:lat="0" w14:lon="0" w14:rev="0"/>
            </w14:lightRig>
          </w14:scene3d>
        </w:rPr>
        <w:t xml:space="preserve">8.1 </w:t>
      </w:r>
      <w:r>
        <w:rPr>
          <w:rStyle w:val="33"/>
          <w:rFonts w:hint="eastAsia"/>
        </w:rPr>
        <w:t xml:space="preserve"> 数据使用</w:t>
      </w:r>
      <w:r>
        <w:tab/>
      </w:r>
      <w:r>
        <w:fldChar w:fldCharType="begin"/>
      </w:r>
      <w:r>
        <w:instrText xml:space="preserve"> PAGEREF _Toc211088682 \h </w:instrText>
      </w:r>
      <w:r>
        <w:fldChar w:fldCharType="separate"/>
      </w:r>
      <w:r>
        <w:t>3</w:t>
      </w:r>
      <w:r>
        <w:fldChar w:fldCharType="end"/>
      </w:r>
      <w:r>
        <w:fldChar w:fldCharType="end"/>
      </w:r>
    </w:p>
    <w:p w14:paraId="3411218D">
      <w:pPr>
        <w:pStyle w:val="24"/>
        <w:rPr>
          <w:rFonts w:asciiTheme="minorHAnsi" w:hAnsiTheme="minorHAnsi" w:eastAsiaTheme="minorEastAsia" w:cstheme="minorBidi"/>
          <w:szCs w:val="22"/>
        </w:rPr>
      </w:pPr>
      <w:r>
        <w:fldChar w:fldCharType="begin"/>
      </w:r>
      <w:r>
        <w:instrText xml:space="preserve"> HYPERLINK \l "_Toc211088683" </w:instrText>
      </w:r>
      <w:r>
        <w:fldChar w:fldCharType="separate"/>
      </w:r>
      <w:r>
        <w:rPr>
          <w:rStyle w:val="33"/>
          <w14:scene3d>
            <w14:lightRig w14:rig="threePt" w14:dir="t">
              <w14:rot w14:lat="0" w14:lon="0" w14:rev="0"/>
            </w14:lightRig>
          </w14:scene3d>
        </w:rPr>
        <w:t xml:space="preserve">8.2 </w:t>
      </w:r>
      <w:r>
        <w:rPr>
          <w:rStyle w:val="33"/>
          <w:rFonts w:hint="eastAsia"/>
        </w:rPr>
        <w:t xml:space="preserve"> 数据共享</w:t>
      </w:r>
      <w:r>
        <w:tab/>
      </w:r>
      <w:r>
        <w:fldChar w:fldCharType="begin"/>
      </w:r>
      <w:r>
        <w:instrText xml:space="preserve"> PAGEREF _Toc211088683 \h </w:instrText>
      </w:r>
      <w:r>
        <w:fldChar w:fldCharType="separate"/>
      </w:r>
      <w:r>
        <w:t>3</w:t>
      </w:r>
      <w:r>
        <w:fldChar w:fldCharType="end"/>
      </w:r>
      <w:r>
        <w:fldChar w:fldCharType="end"/>
      </w:r>
    </w:p>
    <w:p w14:paraId="154236F3">
      <w:pPr>
        <w:pStyle w:val="24"/>
        <w:rPr>
          <w:rFonts w:asciiTheme="minorHAnsi" w:hAnsiTheme="minorHAnsi" w:eastAsiaTheme="minorEastAsia" w:cstheme="minorBidi"/>
          <w:szCs w:val="22"/>
        </w:rPr>
      </w:pPr>
      <w:r>
        <w:fldChar w:fldCharType="begin"/>
      </w:r>
      <w:r>
        <w:instrText xml:space="preserve"> HYPERLINK \l "_Toc211088684" </w:instrText>
      </w:r>
      <w:r>
        <w:fldChar w:fldCharType="separate"/>
      </w:r>
      <w:r>
        <w:rPr>
          <w:rStyle w:val="33"/>
          <w14:scene3d>
            <w14:lightRig w14:rig="threePt" w14:dir="t">
              <w14:rot w14:lat="0" w14:lon="0" w14:rev="0"/>
            </w14:lightRig>
          </w14:scene3d>
        </w:rPr>
        <w:t xml:space="preserve">8.3 </w:t>
      </w:r>
      <w:r>
        <w:rPr>
          <w:rStyle w:val="33"/>
          <w:rFonts w:hint="eastAsia"/>
        </w:rPr>
        <w:t xml:space="preserve"> 存留期限</w:t>
      </w:r>
      <w:r>
        <w:tab/>
      </w:r>
      <w:r>
        <w:fldChar w:fldCharType="begin"/>
      </w:r>
      <w:r>
        <w:instrText xml:space="preserve"> PAGEREF _Toc211088684 \h </w:instrText>
      </w:r>
      <w:r>
        <w:fldChar w:fldCharType="separate"/>
      </w:r>
      <w:r>
        <w:t>3</w:t>
      </w:r>
      <w:r>
        <w:fldChar w:fldCharType="end"/>
      </w:r>
      <w:r>
        <w:fldChar w:fldCharType="end"/>
      </w:r>
    </w:p>
    <w:p w14:paraId="49EBBD31">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"_Toc211088685" </w:instrText>
      </w:r>
      <w:r>
        <w:fldChar w:fldCharType="separate"/>
      </w:r>
      <w:r>
        <w:rPr>
          <w:rStyle w:val="33"/>
        </w:rPr>
        <w:t xml:space="preserve">9 </w:t>
      </w:r>
      <w:r>
        <w:rPr>
          <w:rStyle w:val="33"/>
          <w:rFonts w:hint="eastAsia"/>
        </w:rPr>
        <w:t xml:space="preserve"> 评价与改进</w:t>
      </w:r>
      <w:r>
        <w:tab/>
      </w:r>
      <w:r>
        <w:fldChar w:fldCharType="begin"/>
      </w:r>
      <w:r>
        <w:instrText xml:space="preserve"> PAGEREF _Toc211088685 \h </w:instrText>
      </w:r>
      <w:r>
        <w:fldChar w:fldCharType="separate"/>
      </w:r>
      <w:r>
        <w:t>3</w:t>
      </w:r>
      <w:r>
        <w:fldChar w:fldCharType="end"/>
      </w:r>
      <w:r>
        <w:fldChar w:fldCharType="end"/>
      </w:r>
    </w:p>
    <w:p w14:paraId="4F0DD0C5">
      <w:pPr>
        <w:pStyle w:val="24"/>
        <w:rPr>
          <w:rFonts w:asciiTheme="minorHAnsi" w:hAnsiTheme="minorHAnsi" w:eastAsiaTheme="minorEastAsia" w:cstheme="minorBidi"/>
          <w:szCs w:val="22"/>
        </w:rPr>
      </w:pPr>
      <w:r>
        <w:fldChar w:fldCharType="begin"/>
      </w:r>
      <w:r>
        <w:instrText xml:space="preserve"> HYPERLINK \l "_Toc211088686" </w:instrText>
      </w:r>
      <w:r>
        <w:fldChar w:fldCharType="separate"/>
      </w:r>
      <w:r>
        <w:rPr>
          <w:rStyle w:val="33"/>
          <w14:scene3d>
            <w14:lightRig w14:rig="threePt" w14:dir="t">
              <w14:rot w14:lat="0" w14:lon="0" w14:rev="0"/>
            </w14:lightRig>
          </w14:scene3d>
        </w:rPr>
        <w:t xml:space="preserve">9.1 </w:t>
      </w:r>
      <w:r>
        <w:rPr>
          <w:rStyle w:val="33"/>
          <w:rFonts w:hint="eastAsia"/>
        </w:rPr>
        <w:t xml:space="preserve"> 评价</w:t>
      </w:r>
      <w:r>
        <w:tab/>
      </w:r>
      <w:r>
        <w:fldChar w:fldCharType="begin"/>
      </w:r>
      <w:r>
        <w:instrText xml:space="preserve"> PAGEREF _Toc211088686 \h </w:instrText>
      </w:r>
      <w:r>
        <w:fldChar w:fldCharType="separate"/>
      </w:r>
      <w:r>
        <w:t>3</w:t>
      </w:r>
      <w:r>
        <w:fldChar w:fldCharType="end"/>
      </w:r>
      <w:r>
        <w:fldChar w:fldCharType="end"/>
      </w:r>
    </w:p>
    <w:p w14:paraId="4825BB20">
      <w:pPr>
        <w:pStyle w:val="24"/>
        <w:rPr>
          <w:rFonts w:asciiTheme="minorHAnsi" w:hAnsiTheme="minorHAnsi" w:eastAsiaTheme="minorEastAsia" w:cstheme="minorBidi"/>
          <w:szCs w:val="22"/>
        </w:rPr>
      </w:pPr>
      <w:r>
        <w:fldChar w:fldCharType="begin"/>
      </w:r>
      <w:r>
        <w:instrText xml:space="preserve"> HYPERLINK \l "_Toc211088687" </w:instrText>
      </w:r>
      <w:r>
        <w:fldChar w:fldCharType="separate"/>
      </w:r>
      <w:r>
        <w:rPr>
          <w:rStyle w:val="33"/>
          <w14:scene3d>
            <w14:lightRig w14:rig="threePt" w14:dir="t">
              <w14:rot w14:lat="0" w14:lon="0" w14:rev="0"/>
            </w14:lightRig>
          </w14:scene3d>
        </w:rPr>
        <w:t xml:space="preserve">9.2 </w:t>
      </w:r>
      <w:r>
        <w:rPr>
          <w:rStyle w:val="33"/>
          <w:rFonts w:hint="eastAsia"/>
        </w:rPr>
        <w:t xml:space="preserve"> 改进</w:t>
      </w:r>
      <w:r>
        <w:tab/>
      </w:r>
      <w:r>
        <w:fldChar w:fldCharType="begin"/>
      </w:r>
      <w:r>
        <w:instrText xml:space="preserve"> PAGEREF _Toc211088687 \h </w:instrText>
      </w:r>
      <w:r>
        <w:fldChar w:fldCharType="separate"/>
      </w:r>
      <w:r>
        <w:t>3</w:t>
      </w:r>
      <w:r>
        <w:fldChar w:fldCharType="end"/>
      </w:r>
      <w:r>
        <w:fldChar w:fldCharType="end"/>
      </w:r>
    </w:p>
    <w:p w14:paraId="7D8FFA9B">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"_Toc211088688" </w:instrText>
      </w:r>
      <w:r>
        <w:fldChar w:fldCharType="separate"/>
      </w:r>
      <w:r>
        <w:rPr>
          <w:rStyle w:val="33"/>
          <w:rFonts w:hint="eastAsia"/>
        </w:rPr>
        <w:t>附录A（规范性）</w:t>
      </w:r>
      <w:r>
        <w:rPr>
          <w:rStyle w:val="33"/>
        </w:rPr>
        <w:t xml:space="preserve">  </w:t>
      </w:r>
      <w:r>
        <w:rPr>
          <w:rStyle w:val="33"/>
          <w:rFonts w:hint="eastAsia"/>
        </w:rPr>
        <w:t>自动化数据收集声明模板</w:t>
      </w:r>
      <w:r>
        <w:tab/>
      </w:r>
      <w:r>
        <w:fldChar w:fldCharType="begin"/>
      </w:r>
      <w:r>
        <w:instrText xml:space="preserve"> PAGEREF _Toc211088688 \h </w:instrText>
      </w:r>
      <w:r>
        <w:fldChar w:fldCharType="separate"/>
      </w:r>
      <w:r>
        <w:t>4</w:t>
      </w:r>
      <w:r>
        <w:fldChar w:fldCharType="end"/>
      </w:r>
      <w:r>
        <w:fldChar w:fldCharType="end"/>
      </w:r>
    </w:p>
    <w:p w14:paraId="13D4D3FC">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"_Toc211088689" </w:instrText>
      </w:r>
      <w:r>
        <w:fldChar w:fldCharType="separate"/>
      </w:r>
      <w:r>
        <w:rPr>
          <w:rStyle w:val="33"/>
          <w:rFonts w:hint="eastAsia"/>
        </w:rPr>
        <w:t>附录B（资料性）</w:t>
      </w:r>
      <w:r>
        <w:rPr>
          <w:rStyle w:val="33"/>
        </w:rPr>
        <w:t xml:space="preserve">  </w:t>
      </w:r>
      <w:r>
        <w:rPr>
          <w:rStyle w:val="33"/>
          <w:rFonts w:hint="eastAsia"/>
        </w:rPr>
        <w:t>推荐数据源清单</w:t>
      </w:r>
      <w:r>
        <w:tab/>
      </w:r>
      <w:r>
        <w:fldChar w:fldCharType="begin"/>
      </w:r>
      <w:r>
        <w:instrText xml:space="preserve"> PAGEREF _Toc211088689 \h </w:instrText>
      </w:r>
      <w:r>
        <w:fldChar w:fldCharType="separate"/>
      </w:r>
      <w:r>
        <w:t>5</w:t>
      </w:r>
      <w:r>
        <w:fldChar w:fldCharType="end"/>
      </w:r>
      <w:r>
        <w:fldChar w:fldCharType="end"/>
      </w:r>
    </w:p>
    <w:p w14:paraId="3A5418AF">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"_Toc211088690" </w:instrText>
      </w:r>
      <w:r>
        <w:fldChar w:fldCharType="separate"/>
      </w:r>
      <w:r>
        <w:rPr>
          <w:rStyle w:val="33"/>
          <w:rFonts w:hint="eastAsia"/>
        </w:rPr>
        <w:t>附录C（规范性）</w:t>
      </w:r>
      <w:r>
        <w:rPr>
          <w:rStyle w:val="33"/>
        </w:rPr>
        <w:t xml:space="preserve">  </w:t>
      </w:r>
      <w:r>
        <w:rPr>
          <w:rStyle w:val="33"/>
          <w:rFonts w:hint="eastAsia"/>
        </w:rPr>
        <w:t>去标识化技术指引</w:t>
      </w:r>
      <w:r>
        <w:tab/>
      </w:r>
      <w:r>
        <w:fldChar w:fldCharType="begin"/>
      </w:r>
      <w:r>
        <w:instrText xml:space="preserve"> PAGEREF _Toc211088690 \h </w:instrText>
      </w:r>
      <w:r>
        <w:fldChar w:fldCharType="separate"/>
      </w:r>
      <w:r>
        <w:t>6</w:t>
      </w:r>
      <w:r>
        <w:fldChar w:fldCharType="end"/>
      </w:r>
      <w:r>
        <w:fldChar w:fldCharType="end"/>
      </w:r>
    </w:p>
    <w:p w14:paraId="6B8AA08C">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"_Toc211088695" </w:instrText>
      </w:r>
      <w:r>
        <w:fldChar w:fldCharType="separate"/>
      </w:r>
      <w:r>
        <w:rPr>
          <w:rStyle w:val="33"/>
          <w:rFonts w:hint="eastAsia"/>
        </w:rPr>
        <w:t>附录D（资料性）</w:t>
      </w:r>
      <w:r>
        <w:rPr>
          <w:rStyle w:val="33"/>
        </w:rPr>
        <w:t xml:space="preserve">  </w:t>
      </w:r>
      <w:r>
        <w:rPr>
          <w:rStyle w:val="33"/>
          <w:rFonts w:hint="eastAsia"/>
        </w:rPr>
        <w:t>合规性自查清单</w:t>
      </w:r>
      <w:r>
        <w:tab/>
      </w:r>
      <w:r>
        <w:fldChar w:fldCharType="begin"/>
      </w:r>
      <w:r>
        <w:instrText xml:space="preserve"> PAGEREF _Toc211088695 \h </w:instrText>
      </w:r>
      <w:r>
        <w:fldChar w:fldCharType="separate"/>
      </w:r>
      <w:r>
        <w:t>8</w:t>
      </w:r>
      <w:r>
        <w:fldChar w:fldCharType="end"/>
      </w:r>
      <w:r>
        <w:fldChar w:fldCharType="end"/>
      </w:r>
    </w:p>
    <w:p w14:paraId="2613E5D6">
      <w:pPr>
        <w:pStyle w:val="19"/>
        <w:tabs>
          <w:tab w:val="right" w:leader="dot" w:pos="9344"/>
        </w:tabs>
        <w:rPr>
          <w:rFonts w:asciiTheme="minorHAnsi" w:hAnsiTheme="minorHAnsi" w:eastAsiaTheme="minorEastAsia" w:cstheme="minorBidi"/>
          <w:szCs w:val="22"/>
        </w:rPr>
      </w:pPr>
      <w:r>
        <w:fldChar w:fldCharType="begin"/>
      </w:r>
      <w:r>
        <w:instrText xml:space="preserve"> HYPERLINK \l "_Toc211088696" </w:instrText>
      </w:r>
      <w:r>
        <w:fldChar w:fldCharType="separate"/>
      </w:r>
      <w:r>
        <w:rPr>
          <w:rStyle w:val="33"/>
          <w:rFonts w:hint="eastAsia"/>
        </w:rPr>
        <w:t>参考文献</w:t>
      </w:r>
      <w:r>
        <w:tab/>
      </w:r>
      <w:r>
        <w:fldChar w:fldCharType="begin"/>
      </w:r>
      <w:r>
        <w:instrText xml:space="preserve"> PAGEREF _Toc211088696 \h </w:instrText>
      </w:r>
      <w:r>
        <w:fldChar w:fldCharType="separate"/>
      </w:r>
      <w:r>
        <w:t>9</w:t>
      </w:r>
      <w:r>
        <w:fldChar w:fldCharType="end"/>
      </w:r>
      <w:r>
        <w:fldChar w:fldCharType="end"/>
      </w:r>
    </w:p>
    <w:p w14:paraId="7BD733E3">
      <w:pPr>
        <w:pStyle w:val="92"/>
        <w:spacing w:after="36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8"/>
    <w:p w14:paraId="08F11702">
      <w:pPr>
        <w:pStyle w:val="90"/>
        <w:spacing w:after="360"/>
      </w:pPr>
      <w:bookmarkStart w:id="13" w:name="_Toc211088659"/>
      <w:bookmarkStart w:id="14" w:name="BookMark2"/>
      <w:r>
        <w:rPr>
          <w:spacing w:val="320"/>
        </w:rPr>
        <w:t>前</w:t>
      </w:r>
      <w:r>
        <w:t>言</w:t>
      </w:r>
      <w:bookmarkEnd w:id="9"/>
      <w:bookmarkEnd w:id="10"/>
      <w:bookmarkEnd w:id="11"/>
      <w:bookmarkEnd w:id="12"/>
      <w:bookmarkEnd w:id="13"/>
    </w:p>
    <w:p w14:paraId="0CB255B6">
      <w:pPr>
        <w:pStyle w:val="57"/>
        <w:ind w:firstLine="420"/>
      </w:pPr>
      <w:r>
        <w:rPr>
          <w:rFonts w:hint="eastAsia"/>
        </w:rPr>
        <w:t>本文件按照GB/T 1.1—2020《标准化工作导则  第1部分：标准化文件的结构和起草规则》的规定起草。</w:t>
      </w:r>
    </w:p>
    <w:p w14:paraId="68CC2504">
      <w:pPr>
        <w:pStyle w:val="57"/>
        <w:ind w:firstLine="420"/>
      </w:pPr>
      <w:r>
        <w:rPr>
          <w:rFonts w:hint="eastAsia"/>
        </w:rPr>
        <w:t>请注意本文件的某些内容可能涉及专利。本文件的发布机构不承担识别专利的责任。</w:t>
      </w:r>
    </w:p>
    <w:p w14:paraId="504474EE">
      <w:pPr>
        <w:pStyle w:val="57"/>
        <w:ind w:firstLine="420"/>
      </w:pPr>
      <w:r>
        <w:rPr>
          <w:rFonts w:hint="eastAsia"/>
        </w:rPr>
        <w:t>本文件由</w:t>
      </w:r>
      <w:r>
        <w:t>大连市标准化协会</w:t>
      </w:r>
      <w:r>
        <w:rPr>
          <w:rFonts w:hint="eastAsia"/>
        </w:rPr>
        <w:t>提出。</w:t>
      </w:r>
    </w:p>
    <w:p w14:paraId="169B5EFC">
      <w:pPr>
        <w:pStyle w:val="57"/>
        <w:ind w:firstLine="420"/>
      </w:pPr>
      <w:r>
        <w:rPr>
          <w:rFonts w:hint="eastAsia"/>
        </w:rPr>
        <w:t>本文件由大连市标准化协会归口。</w:t>
      </w:r>
    </w:p>
    <w:p w14:paraId="76600805">
      <w:pPr>
        <w:pStyle w:val="57"/>
        <w:ind w:firstLine="420"/>
      </w:pPr>
      <w:r>
        <w:rPr>
          <w:rFonts w:hint="eastAsia"/>
        </w:rPr>
        <w:t>本文件起草单位：大连市甘井子区大数据局、大连标准认证研究院有限公司、大连交通大学、大连理工大学软件学院、艾珂威尔信息技术服务（大连）有限公司、大连移动甘井子区分公司、大连怡升科技有限公司。</w:t>
      </w:r>
    </w:p>
    <w:p w14:paraId="7A0F5970">
      <w:pPr>
        <w:pStyle w:val="57"/>
        <w:ind w:firstLine="420"/>
        <w:sectPr>
          <w:pgSz w:w="11906" w:h="16838"/>
          <w:pgMar w:top="2410" w:right="1134" w:bottom="1134" w:left="1134" w:header="1418" w:footer="1134" w:gutter="284"/>
          <w:pgNumType w:fmt="upperRoman"/>
          <w:cols w:space="425" w:num="1"/>
          <w:formProt w:val="0"/>
          <w:docGrid w:linePitch="312" w:charSpace="0"/>
        </w:sectPr>
      </w:pPr>
      <w:r>
        <w:rPr>
          <w:rFonts w:hint="eastAsia"/>
        </w:rPr>
        <w:t>本文件主要起草人：赵一橙、由旦玉、吴玉临、刘海山、宋艳玉、徐博、刘爱敏、付振国、夏立坤、李雪霏、刘忠一。</w:t>
      </w:r>
    </w:p>
    <w:bookmarkEnd w:id="14"/>
    <w:p w14:paraId="1232361C">
      <w:pPr>
        <w:spacing w:line="20" w:lineRule="exact"/>
        <w:jc w:val="center"/>
        <w:rPr>
          <w:rFonts w:ascii="黑体" w:hAnsi="黑体" w:eastAsia="黑体"/>
          <w:sz w:val="32"/>
          <w:szCs w:val="32"/>
        </w:rPr>
      </w:pPr>
      <w:bookmarkStart w:id="15" w:name="BookMark4"/>
    </w:p>
    <w:p w14:paraId="72590194">
      <w:pPr>
        <w:spacing w:line="20" w:lineRule="exact"/>
        <w:jc w:val="center"/>
        <w:rPr>
          <w:rFonts w:ascii="黑体" w:hAnsi="黑体" w:eastAsia="黑体"/>
          <w:sz w:val="32"/>
          <w:szCs w:val="32"/>
        </w:rPr>
      </w:pPr>
    </w:p>
    <w:sdt>
      <w:sdtPr>
        <w:tag w:val="NEW_STAND_NAME"/>
        <w:id w:val="595910757"/>
        <w:lock w:val="sdtLocked"/>
        <w:placeholder>
          <w:docPart w:val="85FEFE4118E3471F9F03C2282CADD19C"/>
        </w:placeholder>
      </w:sdtPr>
      <w:sdtContent>
        <w:p w14:paraId="08C8045E">
          <w:pPr>
            <w:pStyle w:val="178"/>
            <w:spacing w:before="240" w:beforeLines="100" w:after="528" w:afterLines="220"/>
          </w:pPr>
          <w:bookmarkStart w:id="16" w:name="NEW_STAND_NAME"/>
          <w:r>
            <w:rPr>
              <w:rFonts w:hint="eastAsia"/>
            </w:rPr>
            <w:t>自动化收集公开数据通用规范</w:t>
          </w:r>
        </w:p>
      </w:sdtContent>
    </w:sdt>
    <w:bookmarkEnd w:id="16"/>
    <w:p w14:paraId="78FCA014">
      <w:pPr>
        <w:pStyle w:val="105"/>
        <w:spacing w:before="240" w:after="240"/>
      </w:pPr>
      <w:bookmarkStart w:id="17" w:name="_Toc24884211"/>
      <w:bookmarkStart w:id="18" w:name="_Toc169601833"/>
      <w:bookmarkStart w:id="19" w:name="_Toc17233325"/>
      <w:bookmarkStart w:id="20" w:name="_Toc17233333"/>
      <w:bookmarkStart w:id="21" w:name="_Toc177998268"/>
      <w:bookmarkStart w:id="22" w:name="_Toc26986530"/>
      <w:bookmarkStart w:id="23" w:name="_Toc209174534"/>
      <w:bookmarkStart w:id="24" w:name="_Toc26648465"/>
      <w:bookmarkStart w:id="25" w:name="_Toc26718930"/>
      <w:bookmarkStart w:id="26" w:name="_Toc211005084"/>
      <w:bookmarkStart w:id="27" w:name="_Toc24884218"/>
      <w:bookmarkStart w:id="28" w:name="_Toc26986771"/>
      <w:bookmarkStart w:id="29" w:name="_Toc211088660"/>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p>
    <w:p w14:paraId="7290CD3D">
      <w:pPr>
        <w:pStyle w:val="57"/>
        <w:ind w:firstLine="420"/>
      </w:pPr>
      <w:bookmarkStart w:id="30" w:name="_Toc24884219"/>
      <w:bookmarkStart w:id="31" w:name="_Toc17233334"/>
      <w:bookmarkStart w:id="32" w:name="_Toc24884212"/>
      <w:bookmarkStart w:id="33" w:name="_Toc26648466"/>
      <w:bookmarkStart w:id="34" w:name="_Toc17233326"/>
      <w:r>
        <w:rPr>
          <w:rFonts w:hint="eastAsia"/>
        </w:rPr>
        <w:t>本文件规定了利用自动化技术收集公开数据的基本原则、数据分类与收集、技术要求、数据安全、数据管理及评价与改进。</w:t>
      </w:r>
    </w:p>
    <w:p w14:paraId="23D0CA86">
      <w:pPr>
        <w:pStyle w:val="57"/>
        <w:ind w:firstLine="420"/>
      </w:pPr>
      <w:r>
        <w:rPr>
          <w:rFonts w:hint="eastAsia"/>
        </w:rPr>
        <w:t>本文件适用于利用自动化技术从互联网、政务平台、公共数据库等合法公开渠道收集非密非敏数据的行为。</w:t>
      </w:r>
    </w:p>
    <w:p w14:paraId="102FF026">
      <w:pPr>
        <w:pStyle w:val="105"/>
        <w:spacing w:before="240" w:after="240"/>
      </w:pPr>
      <w:bookmarkStart w:id="35" w:name="_Toc211088661"/>
      <w:bookmarkStart w:id="36" w:name="_Toc26718931"/>
      <w:bookmarkStart w:id="37" w:name="_Toc26986531"/>
      <w:bookmarkStart w:id="38" w:name="_Toc209174535"/>
      <w:bookmarkStart w:id="39" w:name="_Toc211005085"/>
      <w:bookmarkStart w:id="40" w:name="_Toc26986772"/>
      <w:bookmarkStart w:id="41" w:name="_Toc177998269"/>
      <w:bookmarkStart w:id="42" w:name="_Toc169601834"/>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p>
    <w:p w14:paraId="519310BB">
      <w:pPr>
        <w:pStyle w:val="57"/>
        <w:ind w:firstLine="420"/>
      </w:pPr>
      <w:sdt>
        <w:sdtPr>
          <w:rPr>
            <w:rFonts w:hint="eastAsia"/>
          </w:rPr>
          <w:id w:val="715848253"/>
          <w:placeholder>
            <w:docPart w:val="67EC63501C8D4598B5CC1F8A3E7EA1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55E7DB19">
      <w:pPr>
        <w:pStyle w:val="57"/>
        <w:ind w:firstLine="420"/>
      </w:pPr>
      <w:r>
        <w:rPr>
          <w:rFonts w:hint="eastAsia"/>
        </w:rPr>
        <w:t xml:space="preserve">GB/T </w:t>
      </w:r>
      <w:r>
        <w:t xml:space="preserve">22239  </w:t>
      </w:r>
      <w:r>
        <w:rPr>
          <w:rFonts w:hint="eastAsia"/>
        </w:rPr>
        <w:t>信息安全技术 网络安全等级保护基本要求</w:t>
      </w:r>
    </w:p>
    <w:p w14:paraId="3BAC1D67">
      <w:pPr>
        <w:pStyle w:val="57"/>
        <w:ind w:firstLine="420"/>
      </w:pPr>
      <w:r>
        <w:rPr>
          <w:rFonts w:hint="eastAsia"/>
        </w:rPr>
        <w:t xml:space="preserve">GB/T </w:t>
      </w:r>
      <w:r>
        <w:t>37964</w:t>
      </w:r>
      <w:r>
        <w:rPr>
          <w:rFonts w:hint="eastAsia"/>
        </w:rPr>
        <w:t xml:space="preserve">  信息安全技术 个人信息去标识化指南</w:t>
      </w:r>
    </w:p>
    <w:p w14:paraId="343A3764">
      <w:pPr>
        <w:pStyle w:val="105"/>
        <w:spacing w:before="240" w:after="240"/>
      </w:pPr>
      <w:bookmarkStart w:id="43" w:name="_Toc169601835"/>
      <w:bookmarkStart w:id="44" w:name="_Toc211088662"/>
      <w:bookmarkStart w:id="45" w:name="_Toc209174536"/>
      <w:bookmarkStart w:id="46" w:name="_Toc177998270"/>
      <w:bookmarkStart w:id="47" w:name="_Toc211005086"/>
      <w:r>
        <w:rPr>
          <w:rFonts w:hint="eastAsia"/>
          <w:szCs w:val="21"/>
        </w:rPr>
        <w:t>术语和定义</w:t>
      </w:r>
      <w:bookmarkEnd w:id="43"/>
      <w:bookmarkEnd w:id="44"/>
      <w:bookmarkEnd w:id="45"/>
      <w:bookmarkEnd w:id="46"/>
      <w:bookmarkEnd w:id="47"/>
    </w:p>
    <w:sdt>
      <w:sdtPr>
        <w:id w:val="-1909835108"/>
        <w:placeholder>
          <w:docPart w:val="054A2170A07A4917818C18673576E1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6146704">
          <w:pPr>
            <w:pStyle w:val="57"/>
            <w:ind w:firstLine="420"/>
          </w:pPr>
          <w:bookmarkStart w:id="48" w:name="_Toc26986532"/>
          <w:bookmarkEnd w:id="48"/>
          <w:r>
            <w:t>下列术语和定义适用于本文件。</w:t>
          </w:r>
        </w:p>
      </w:sdtContent>
    </w:sdt>
    <w:p w14:paraId="4DB5DF69">
      <w:pPr>
        <w:pStyle w:val="106"/>
        <w:spacing w:before="120" w:after="120"/>
      </w:pPr>
      <w:r>
        <w:rPr>
          <w:rFonts w:hAnsi="黑体"/>
        </w:rPr>
        <w:br w:type="textWrapping"/>
      </w:r>
      <w:r>
        <w:rPr>
          <w:rFonts w:hint="eastAsia"/>
        </w:rPr>
        <w:t xml:space="preserve"> </w:t>
      </w:r>
      <w:r>
        <w:t xml:space="preserve">   </w:t>
      </w:r>
      <w:bookmarkStart w:id="49" w:name="_Toc211088663"/>
      <w:r>
        <w:rPr>
          <w:rFonts w:hint="eastAsia"/>
        </w:rPr>
        <w:t xml:space="preserve">公开数据  </w:t>
      </w:r>
      <w:r>
        <w:t>public data</w:t>
      </w:r>
      <w:bookmarkEnd w:id="49"/>
      <w:r>
        <w:rPr>
          <w:rFonts w:hint="eastAsia"/>
        </w:rPr>
        <w:t xml:space="preserve"> </w:t>
      </w:r>
    </w:p>
    <w:p w14:paraId="35BCBCAE">
      <w:pPr>
        <w:pStyle w:val="57"/>
        <w:ind w:firstLine="420"/>
      </w:pPr>
      <w:r>
        <w:rPr>
          <w:rFonts w:hint="eastAsia"/>
        </w:rPr>
        <w:t>通过法定渠道或数据主体主动向社会公众发布，可被合法、免费获取的非涉密信息。</w:t>
      </w:r>
    </w:p>
    <w:p w14:paraId="7938BBCE">
      <w:pPr>
        <w:pStyle w:val="106"/>
        <w:spacing w:before="120" w:after="120"/>
      </w:pPr>
      <w:r>
        <w:br w:type="textWrapping"/>
      </w:r>
      <w:r>
        <w:rPr>
          <w:rFonts w:hint="eastAsia"/>
        </w:rPr>
        <w:t xml:space="preserve"> </w:t>
      </w:r>
      <w:r>
        <w:t xml:space="preserve">   </w:t>
      </w:r>
      <w:bookmarkStart w:id="50" w:name="_Toc211005087"/>
      <w:bookmarkStart w:id="51" w:name="_Toc211088664"/>
      <w:bookmarkStart w:id="52" w:name="_Toc209174537"/>
      <w:r>
        <w:t>自动化收集</w:t>
      </w:r>
      <w:r>
        <w:rPr>
          <w:rFonts w:hint="eastAsia"/>
        </w:rPr>
        <w:t xml:space="preserve">  </w:t>
      </w:r>
      <w:r>
        <w:rPr>
          <w:rFonts w:hAnsi="黑体"/>
        </w:rPr>
        <w:t>automated collection</w:t>
      </w:r>
      <w:bookmarkEnd w:id="50"/>
      <w:bookmarkEnd w:id="51"/>
      <w:bookmarkEnd w:id="52"/>
    </w:p>
    <w:p w14:paraId="491BB73F">
      <w:pPr>
        <w:pStyle w:val="57"/>
        <w:ind w:firstLine="420"/>
      </w:pPr>
      <w:r>
        <w:rPr>
          <w:rFonts w:hint="eastAsia"/>
        </w:rPr>
        <w:t>利用计算机程序、脚本、API接口等技术手段，自动识别、抓取、获取数据的行为。</w:t>
      </w:r>
    </w:p>
    <w:p w14:paraId="764C8044">
      <w:pPr>
        <w:pStyle w:val="106"/>
        <w:spacing w:before="120" w:after="120"/>
      </w:pPr>
      <w:r>
        <w:br w:type="textWrapping"/>
      </w:r>
      <w:r>
        <w:rPr>
          <w:rFonts w:hint="eastAsia"/>
        </w:rPr>
        <w:t xml:space="preserve"> </w:t>
      </w:r>
      <w:r>
        <w:t xml:space="preserve">   </w:t>
      </w:r>
      <w:bookmarkStart w:id="53" w:name="_Toc211005088"/>
      <w:bookmarkStart w:id="54" w:name="_Toc209174538"/>
      <w:bookmarkStart w:id="55" w:name="_Toc211088665"/>
      <w:r>
        <w:rPr>
          <w:rFonts w:hint="eastAsia" w:hAnsi="黑体"/>
        </w:rPr>
        <w:t xml:space="preserve">Robots协议 </w:t>
      </w:r>
      <w:r>
        <w:rPr>
          <w:rFonts w:hint="eastAsia"/>
        </w:rPr>
        <w:t xml:space="preserve"> </w:t>
      </w:r>
      <w:r>
        <w:t>Robots Exclusion Protocol</w:t>
      </w:r>
      <w:bookmarkEnd w:id="53"/>
      <w:bookmarkEnd w:id="54"/>
      <w:bookmarkEnd w:id="55"/>
    </w:p>
    <w:p w14:paraId="4D3AF20F">
      <w:pPr>
        <w:pStyle w:val="57"/>
        <w:ind w:firstLine="420"/>
      </w:pPr>
      <w:r>
        <w:rPr>
          <w:rFonts w:hint="eastAsia"/>
        </w:rPr>
        <w:t>网站通过robots.txt文件声明的、用于指导网络爬虫等自动化工具访问和抓取网站内容的规则。</w:t>
      </w:r>
      <w:bookmarkStart w:id="56" w:name="_Toc211005089"/>
      <w:bookmarkStart w:id="57" w:name="_Toc209174539"/>
    </w:p>
    <w:p w14:paraId="37809907">
      <w:pPr>
        <w:pStyle w:val="105"/>
        <w:spacing w:before="240" w:after="240"/>
      </w:pPr>
      <w:bookmarkStart w:id="58" w:name="_Toc211088666"/>
      <w:r>
        <w:rPr>
          <w:rFonts w:hint="eastAsia"/>
        </w:rPr>
        <w:t>基本原则</w:t>
      </w:r>
      <w:bookmarkEnd w:id="56"/>
      <w:bookmarkEnd w:id="57"/>
      <w:bookmarkEnd w:id="58"/>
    </w:p>
    <w:p w14:paraId="41C46F7D">
      <w:pPr>
        <w:pStyle w:val="106"/>
        <w:spacing w:before="120" w:after="120"/>
      </w:pPr>
      <w:bookmarkStart w:id="59" w:name="_Toc211005090"/>
      <w:bookmarkStart w:id="60" w:name="_Toc209174540"/>
      <w:bookmarkStart w:id="61" w:name="_Toc211088667"/>
      <w:r>
        <w:rPr>
          <w:rFonts w:hint="eastAsia"/>
        </w:rPr>
        <w:t>合法合规性</w:t>
      </w:r>
      <w:bookmarkEnd w:id="59"/>
      <w:bookmarkEnd w:id="60"/>
      <w:bookmarkEnd w:id="61"/>
    </w:p>
    <w:p w14:paraId="6531052E">
      <w:pPr>
        <w:pStyle w:val="57"/>
        <w:ind w:firstLine="420"/>
      </w:pPr>
      <w:r>
        <w:rPr>
          <w:rFonts w:hint="eastAsia"/>
        </w:rPr>
        <w:t>收集活动应符合国家法律法规、部门规章及本标准的要求。禁止实施以下行为：</w:t>
      </w:r>
    </w:p>
    <w:p w14:paraId="5B0F6ECC">
      <w:pPr>
        <w:pStyle w:val="175"/>
      </w:pPr>
      <w:r>
        <w:rPr>
          <w:rFonts w:hint="eastAsia"/>
        </w:rPr>
        <w:t>规避或破坏数据源网站的技术保护措施；</w:t>
      </w:r>
    </w:p>
    <w:p w14:paraId="510DF212">
      <w:pPr>
        <w:pStyle w:val="175"/>
      </w:pPr>
      <w:r>
        <w:rPr>
          <w:rFonts w:hint="eastAsia"/>
        </w:rPr>
        <w:t>收集任何法律法规禁止收集的敏感个人信息（即使该信息处于公开状态）；</w:t>
      </w:r>
    </w:p>
    <w:p w14:paraId="6EA1D751">
      <w:pPr>
        <w:pStyle w:val="175"/>
      </w:pPr>
      <w:r>
        <w:rPr>
          <w:rFonts w:hint="eastAsia"/>
        </w:rPr>
        <w:t>侵犯他人的知识产权、商业秘密等合法权益。</w:t>
      </w:r>
    </w:p>
    <w:p w14:paraId="41B84A29">
      <w:pPr>
        <w:pStyle w:val="106"/>
        <w:spacing w:before="120" w:after="120"/>
      </w:pPr>
      <w:bookmarkStart w:id="62" w:name="_Toc211005091"/>
      <w:bookmarkStart w:id="63" w:name="_Toc209174541"/>
      <w:bookmarkStart w:id="64" w:name="_Toc211088668"/>
      <w:r>
        <w:rPr>
          <w:rFonts w:hint="eastAsia"/>
        </w:rPr>
        <w:t>最小必要</w:t>
      </w:r>
      <w:bookmarkEnd w:id="62"/>
      <w:bookmarkEnd w:id="63"/>
      <w:bookmarkEnd w:id="64"/>
    </w:p>
    <w:p w14:paraId="10F87DB8">
      <w:pPr>
        <w:pStyle w:val="57"/>
        <w:ind w:firstLine="420"/>
      </w:pPr>
      <w:r>
        <w:rPr>
          <w:rFonts w:hint="eastAsia"/>
        </w:rPr>
        <w:t>数据收集的范围和频率应严格限定于实现特定、合法的业务目的所直接关联且必需的数据。</w:t>
      </w:r>
    </w:p>
    <w:p w14:paraId="31B94209">
      <w:pPr>
        <w:pStyle w:val="106"/>
        <w:spacing w:before="120" w:after="120"/>
      </w:pPr>
      <w:bookmarkStart w:id="65" w:name="_Toc211005092"/>
      <w:bookmarkStart w:id="66" w:name="_Toc209174542"/>
      <w:bookmarkStart w:id="67" w:name="_Toc211088669"/>
      <w:r>
        <w:rPr>
          <w:rFonts w:hint="eastAsia"/>
        </w:rPr>
        <w:t>安全可控</w:t>
      </w:r>
      <w:bookmarkEnd w:id="65"/>
      <w:bookmarkEnd w:id="66"/>
      <w:bookmarkEnd w:id="67"/>
    </w:p>
    <w:p w14:paraId="148F6E96">
      <w:pPr>
        <w:pStyle w:val="57"/>
        <w:ind w:firstLine="420"/>
      </w:pPr>
      <w:r>
        <w:rPr>
          <w:rFonts w:hint="eastAsia"/>
        </w:rPr>
        <w:t>应建立并落实覆盖数据收集、传输、存储、使用、删除等全生命周期的安全防护与管理措施，确保数据安全处于可控状态。</w:t>
      </w:r>
    </w:p>
    <w:p w14:paraId="547E0D69">
      <w:pPr>
        <w:pStyle w:val="106"/>
        <w:spacing w:before="120" w:after="120"/>
      </w:pPr>
      <w:bookmarkStart w:id="68" w:name="_Toc209174543"/>
      <w:bookmarkStart w:id="69" w:name="_Toc211088670"/>
      <w:bookmarkStart w:id="70" w:name="_Toc211005093"/>
      <w:r>
        <w:rPr>
          <w:rFonts w:hint="eastAsia"/>
        </w:rPr>
        <w:t>生态责任</w:t>
      </w:r>
      <w:bookmarkEnd w:id="68"/>
      <w:bookmarkEnd w:id="69"/>
      <w:bookmarkEnd w:id="70"/>
    </w:p>
    <w:p w14:paraId="2D2CA3C3">
      <w:pPr>
        <w:pStyle w:val="57"/>
        <w:ind w:firstLine="420"/>
      </w:pPr>
      <w:r>
        <w:rPr>
          <w:rFonts w:hint="eastAsia"/>
        </w:rPr>
        <w:t>应尊重互联网秩序和网站运营者的合法权益，遵循Robots协议。单域名请求频率原则上不应超过10次/秒，避免对数据源网站的正常运行造成不当干扰。</w:t>
      </w:r>
    </w:p>
    <w:p w14:paraId="3323817F">
      <w:pPr>
        <w:pStyle w:val="106"/>
        <w:spacing w:before="120" w:after="120"/>
      </w:pPr>
      <w:bookmarkStart w:id="71" w:name="_Toc211088671"/>
      <w:r>
        <w:rPr>
          <w:rFonts w:hint="eastAsia"/>
        </w:rPr>
        <w:t>善意访问（Robots协议）</w:t>
      </w:r>
      <w:bookmarkEnd w:id="71"/>
    </w:p>
    <w:p w14:paraId="4620055E">
      <w:pPr>
        <w:pStyle w:val="57"/>
        <w:ind w:firstLine="420"/>
      </w:pPr>
      <w:r>
        <w:rPr>
          <w:rFonts w:hint="eastAsia"/>
        </w:rPr>
        <w:t>应尊重并严格遵守目标网站的robots.txt协议。该协议是国际互联网通行的道德规范，是判断爬虫行为善意与否的重要依据。</w:t>
      </w:r>
    </w:p>
    <w:p w14:paraId="3B30C29A">
      <w:pPr>
        <w:pStyle w:val="105"/>
        <w:spacing w:before="240" w:after="240"/>
      </w:pPr>
      <w:bookmarkStart w:id="72" w:name="_Toc211005094"/>
      <w:bookmarkStart w:id="73" w:name="_Toc209174544"/>
      <w:bookmarkStart w:id="74" w:name="_Toc211088672"/>
      <w:r>
        <w:rPr>
          <w:rFonts w:hint="eastAsia"/>
        </w:rPr>
        <w:t>数据分类与收集</w:t>
      </w:r>
      <w:bookmarkEnd w:id="72"/>
      <w:bookmarkEnd w:id="73"/>
      <w:bookmarkEnd w:id="74"/>
    </w:p>
    <w:p w14:paraId="0FA49275">
      <w:pPr>
        <w:pStyle w:val="163"/>
      </w:pPr>
      <w:r>
        <w:rPr>
          <w:rFonts w:hint="eastAsia"/>
        </w:rPr>
        <w:t>根据数据来源和性质，将通过自动化方式收集的公开数据分为以下四类，其收集要求应符合表1的规定。</w:t>
      </w:r>
    </w:p>
    <w:p w14:paraId="217B9B06">
      <w:pPr>
        <w:pStyle w:val="113"/>
        <w:spacing w:before="120" w:after="120"/>
      </w:pPr>
      <w:r>
        <w:rPr>
          <w:rFonts w:hint="eastAsia"/>
        </w:rPr>
        <w:t>数据分类管理规范</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78"/>
        <w:gridCol w:w="2835"/>
        <w:gridCol w:w="4261"/>
      </w:tblGrid>
      <w:tr w14:paraId="54FBC1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78" w:type="dxa"/>
            <w:tcBorders>
              <w:top w:val="single" w:color="auto" w:sz="8" w:space="0"/>
              <w:bottom w:val="single" w:color="auto" w:sz="8" w:space="0"/>
            </w:tcBorders>
            <w:shd w:val="clear" w:color="auto" w:fill="auto"/>
            <w:vAlign w:val="center"/>
          </w:tcPr>
          <w:p w14:paraId="5BA34EB9">
            <w:pPr>
              <w:pStyle w:val="179"/>
            </w:pPr>
            <w:r>
              <w:t>数据类别</w:t>
            </w:r>
          </w:p>
        </w:tc>
        <w:tc>
          <w:tcPr>
            <w:tcW w:w="2835" w:type="dxa"/>
            <w:tcBorders>
              <w:top w:val="single" w:color="auto" w:sz="8" w:space="0"/>
              <w:bottom w:val="single" w:color="auto" w:sz="8" w:space="0"/>
            </w:tcBorders>
            <w:shd w:val="clear" w:color="auto" w:fill="auto"/>
            <w:vAlign w:val="center"/>
          </w:tcPr>
          <w:p w14:paraId="24C0FC44">
            <w:pPr>
              <w:pStyle w:val="179"/>
            </w:pPr>
            <w:r>
              <w:t>数据来源示例</w:t>
            </w:r>
          </w:p>
        </w:tc>
        <w:tc>
          <w:tcPr>
            <w:tcW w:w="4261" w:type="dxa"/>
            <w:tcBorders>
              <w:top w:val="single" w:color="auto" w:sz="8" w:space="0"/>
              <w:bottom w:val="single" w:color="auto" w:sz="8" w:space="0"/>
            </w:tcBorders>
            <w:shd w:val="clear" w:color="auto" w:fill="auto"/>
            <w:vAlign w:val="center"/>
          </w:tcPr>
          <w:p w14:paraId="63B88D2F">
            <w:pPr>
              <w:pStyle w:val="179"/>
            </w:pPr>
            <w:r>
              <w:t>基本收集要求</w:t>
            </w:r>
          </w:p>
        </w:tc>
      </w:tr>
      <w:tr w14:paraId="55B056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tcBorders>
              <w:top w:val="single" w:color="auto" w:sz="8" w:space="0"/>
            </w:tcBorders>
            <w:shd w:val="clear" w:color="auto" w:fill="auto"/>
            <w:vAlign w:val="center"/>
          </w:tcPr>
          <w:p w14:paraId="34440921">
            <w:pPr>
              <w:pStyle w:val="179"/>
            </w:pPr>
            <w:r>
              <w:rPr>
                <w:rFonts w:hint="eastAsia"/>
              </w:rPr>
              <w:t>A</w:t>
            </w:r>
            <w:r>
              <w:t>类</w:t>
            </w:r>
          </w:p>
        </w:tc>
        <w:tc>
          <w:tcPr>
            <w:tcW w:w="2835" w:type="dxa"/>
            <w:tcBorders>
              <w:top w:val="single" w:color="auto" w:sz="8" w:space="0"/>
            </w:tcBorders>
            <w:shd w:val="clear" w:color="auto" w:fill="auto"/>
            <w:vAlign w:val="center"/>
          </w:tcPr>
          <w:p w14:paraId="5EB55F09">
            <w:pPr>
              <w:pStyle w:val="179"/>
            </w:pPr>
            <w:r>
              <w:rPr>
                <w:rFonts w:hint="eastAsia"/>
              </w:rPr>
              <w:t>政府数据开放平台</w:t>
            </w:r>
          </w:p>
        </w:tc>
        <w:tc>
          <w:tcPr>
            <w:tcW w:w="4261" w:type="dxa"/>
            <w:tcBorders>
              <w:top w:val="single" w:color="auto" w:sz="8" w:space="0"/>
            </w:tcBorders>
            <w:shd w:val="clear" w:color="auto" w:fill="auto"/>
            <w:vAlign w:val="center"/>
          </w:tcPr>
          <w:p w14:paraId="28C3FFFD">
            <w:pPr>
              <w:pStyle w:val="179"/>
              <w:jc w:val="left"/>
            </w:pPr>
            <w:r>
              <w:rPr>
                <w:rFonts w:hint="eastAsia"/>
              </w:rPr>
              <w:t>优先通过官方提供的API接口获取；若无官方API，需将自动化收集方案向相关管理部门备案后方可实施</w:t>
            </w:r>
          </w:p>
        </w:tc>
      </w:tr>
      <w:tr w14:paraId="2B22C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14:paraId="427FEEAB">
            <w:pPr>
              <w:pStyle w:val="179"/>
            </w:pPr>
            <w:r>
              <w:t>B类</w:t>
            </w:r>
          </w:p>
        </w:tc>
        <w:tc>
          <w:tcPr>
            <w:tcW w:w="2835" w:type="dxa"/>
            <w:shd w:val="clear" w:color="auto" w:fill="auto"/>
            <w:vAlign w:val="center"/>
          </w:tcPr>
          <w:p w14:paraId="4452EFDD">
            <w:pPr>
              <w:pStyle w:val="179"/>
            </w:pPr>
            <w:r>
              <w:rPr>
                <w:rFonts w:hint="eastAsia"/>
              </w:rPr>
              <w:t>公共事业机构（水、电、交通等）</w:t>
            </w:r>
          </w:p>
        </w:tc>
        <w:tc>
          <w:tcPr>
            <w:tcW w:w="4261" w:type="dxa"/>
            <w:shd w:val="clear" w:color="auto" w:fill="auto"/>
            <w:vAlign w:val="center"/>
          </w:tcPr>
          <w:p w14:paraId="18BD63E4">
            <w:pPr>
              <w:pStyle w:val="179"/>
              <w:jc w:val="left"/>
            </w:pPr>
            <w:r>
              <w:rPr>
                <w:rFonts w:hint="eastAsia"/>
              </w:rPr>
              <w:t>严格遵守该机构对外公开的数据使用条款和声明。每日采集数据量原则上不应超过1万条</w:t>
            </w:r>
          </w:p>
        </w:tc>
      </w:tr>
      <w:tr w14:paraId="081B11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14:paraId="2F7403CB">
            <w:pPr>
              <w:pStyle w:val="179"/>
            </w:pPr>
            <w:r>
              <w:rPr>
                <w:rFonts w:hint="eastAsia"/>
              </w:rPr>
              <w:t>C</w:t>
            </w:r>
            <w:r>
              <w:t>类</w:t>
            </w:r>
          </w:p>
        </w:tc>
        <w:tc>
          <w:tcPr>
            <w:tcW w:w="2835" w:type="dxa"/>
            <w:shd w:val="clear" w:color="auto" w:fill="auto"/>
            <w:vAlign w:val="center"/>
          </w:tcPr>
          <w:p w14:paraId="2789E601">
            <w:pPr>
              <w:pStyle w:val="179"/>
            </w:pPr>
            <w:r>
              <w:rPr>
                <w:rFonts w:hint="eastAsia"/>
              </w:rPr>
              <w:t>互联网公开信息</w:t>
            </w:r>
          </w:p>
        </w:tc>
        <w:tc>
          <w:tcPr>
            <w:tcW w:w="4261" w:type="dxa"/>
            <w:shd w:val="clear" w:color="auto" w:fill="auto"/>
            <w:vAlign w:val="center"/>
          </w:tcPr>
          <w:p w14:paraId="5C4D8FB9">
            <w:pPr>
              <w:pStyle w:val="179"/>
              <w:jc w:val="left"/>
            </w:pPr>
            <w:r>
              <w:rPr>
                <w:rFonts w:hint="eastAsia"/>
              </w:rPr>
              <w:t>应严格遵守源网站的Robots协议。收集的信息中如包含个人信息，应在数据落地后24小时内完成去标识化处理。禁止收集社交媒体个人主页、医疗健康等敏感领域的公开信息</w:t>
            </w:r>
          </w:p>
        </w:tc>
      </w:tr>
      <w:tr w14:paraId="1F2F4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14:paraId="66210E06">
            <w:pPr>
              <w:pStyle w:val="179"/>
            </w:pPr>
            <w:r>
              <w:t>D类</w:t>
            </w:r>
          </w:p>
        </w:tc>
        <w:tc>
          <w:tcPr>
            <w:tcW w:w="2835" w:type="dxa"/>
            <w:shd w:val="clear" w:color="auto" w:fill="auto"/>
            <w:vAlign w:val="center"/>
          </w:tcPr>
          <w:p w14:paraId="1CFD0351">
            <w:pPr>
              <w:pStyle w:val="179"/>
            </w:pPr>
            <w:r>
              <w:rPr>
                <w:rFonts w:hint="eastAsia"/>
              </w:rPr>
              <w:t>科研、统计等专业数据库</w:t>
            </w:r>
          </w:p>
        </w:tc>
        <w:tc>
          <w:tcPr>
            <w:tcW w:w="4261" w:type="dxa"/>
            <w:shd w:val="clear" w:color="auto" w:fill="auto"/>
            <w:vAlign w:val="center"/>
          </w:tcPr>
          <w:p w14:paraId="55855A14">
            <w:pPr>
              <w:pStyle w:val="179"/>
              <w:jc w:val="left"/>
            </w:pPr>
            <w:r>
              <w:rPr>
                <w:rFonts w:hint="eastAsia"/>
              </w:rPr>
              <w:t>应事先取得数据库所有者或管理者明确授权或许可，签订数据使用协议，并严格遵循协议约定进行收集</w:t>
            </w:r>
          </w:p>
        </w:tc>
      </w:tr>
    </w:tbl>
    <w:p w14:paraId="7E9D674B">
      <w:pPr>
        <w:pStyle w:val="163"/>
        <w:numPr>
          <w:ilvl w:val="0"/>
          <w:numId w:val="0"/>
        </w:numPr>
      </w:pPr>
      <w:bookmarkStart w:id="75" w:name="_Toc209174545"/>
    </w:p>
    <w:p w14:paraId="1F241F03">
      <w:pPr>
        <w:pStyle w:val="106"/>
        <w:spacing w:before="120" w:after="120"/>
        <w:rPr>
          <w:rFonts w:ascii="宋体" w:eastAsia="宋体"/>
        </w:rPr>
      </w:pPr>
      <w:bookmarkStart w:id="76" w:name="_Toc211088673"/>
      <w:r>
        <w:rPr>
          <w:rFonts w:hint="eastAsia" w:ascii="宋体" w:eastAsia="宋体"/>
        </w:rPr>
        <w:t>实施自动化数据收集声明应按附录A的规定执行。</w:t>
      </w:r>
      <w:bookmarkEnd w:id="76"/>
    </w:p>
    <w:p w14:paraId="1FF9C9DF">
      <w:pPr>
        <w:pStyle w:val="106"/>
        <w:spacing w:before="120" w:after="120"/>
        <w:rPr>
          <w:rFonts w:ascii="宋体" w:eastAsia="宋体"/>
        </w:rPr>
      </w:pPr>
      <w:bookmarkStart w:id="77" w:name="_Toc211088674"/>
      <w:r>
        <w:rPr>
          <w:rFonts w:hint="eastAsia" w:ascii="宋体" w:eastAsia="宋体"/>
        </w:rPr>
        <w:t>推荐数据源清单可参考附录B</w:t>
      </w:r>
      <w:r>
        <w:rPr>
          <w:rFonts w:ascii="宋体" w:eastAsia="宋体"/>
        </w:rPr>
        <w:t>。</w:t>
      </w:r>
      <w:bookmarkEnd w:id="77"/>
    </w:p>
    <w:p w14:paraId="3DCF5161">
      <w:pPr>
        <w:pStyle w:val="163"/>
      </w:pPr>
      <w:r>
        <w:rPr>
          <w:rFonts w:hint="eastAsia"/>
        </w:rPr>
        <w:t>去标识化技术应按附录C的规定执行。</w:t>
      </w:r>
    </w:p>
    <w:p w14:paraId="40490AEA">
      <w:pPr>
        <w:pStyle w:val="105"/>
        <w:spacing w:before="240" w:after="240"/>
      </w:pPr>
      <w:bookmarkStart w:id="78" w:name="_Toc211005095"/>
      <w:bookmarkStart w:id="79" w:name="_Toc211088675"/>
      <w:r>
        <w:t>技术要求</w:t>
      </w:r>
      <w:bookmarkEnd w:id="75"/>
      <w:bookmarkEnd w:id="78"/>
      <w:bookmarkEnd w:id="79"/>
    </w:p>
    <w:p w14:paraId="4D141588">
      <w:pPr>
        <w:pStyle w:val="106"/>
        <w:spacing w:before="120" w:after="120"/>
      </w:pPr>
      <w:bookmarkStart w:id="80" w:name="_Toc211005096"/>
      <w:bookmarkStart w:id="81" w:name="_Toc211088676"/>
      <w:r>
        <w:rPr>
          <w:rFonts w:hint="eastAsia"/>
        </w:rPr>
        <w:t>自动化验证</w:t>
      </w:r>
      <w:bookmarkEnd w:id="80"/>
      <w:bookmarkEnd w:id="81"/>
    </w:p>
    <w:p w14:paraId="58276A70">
      <w:pPr>
        <w:pStyle w:val="57"/>
        <w:ind w:firstLine="420"/>
      </w:pPr>
      <w:r>
        <w:rPr>
          <w:rFonts w:hint="eastAsia"/>
        </w:rPr>
        <w:t>应遵守目标网站的robots.txt 协议，不能依赖人工检查，而应是自动化、强制性的技术行为。</w:t>
      </w:r>
    </w:p>
    <w:p w14:paraId="09C8F937">
      <w:pPr>
        <w:pStyle w:val="106"/>
        <w:spacing w:before="120" w:after="120"/>
      </w:pPr>
      <w:bookmarkStart w:id="82" w:name="_Toc211005097"/>
      <w:bookmarkStart w:id="83" w:name="_Toc211088677"/>
      <w:r>
        <w:rPr>
          <w:rFonts w:hint="eastAsia"/>
        </w:rPr>
        <w:t>个人信息处理</w:t>
      </w:r>
      <w:bookmarkEnd w:id="82"/>
      <w:bookmarkEnd w:id="83"/>
    </w:p>
    <w:p w14:paraId="0A30F35B">
      <w:pPr>
        <w:pStyle w:val="57"/>
        <w:ind w:firstLine="420"/>
      </w:pPr>
      <w:r>
        <w:rPr>
          <w:rFonts w:hint="eastAsia"/>
        </w:rPr>
        <w:t>对个人信息的处理应符合《中华人民共和国个人信息保护法》的“最小必要”和“安全”原则。</w:t>
      </w:r>
    </w:p>
    <w:p w14:paraId="59CFEF60">
      <w:pPr>
        <w:pStyle w:val="106"/>
        <w:spacing w:before="120" w:after="120"/>
      </w:pPr>
      <w:bookmarkStart w:id="84" w:name="_Toc211005098"/>
      <w:bookmarkStart w:id="85" w:name="_Toc211088678"/>
      <w:r>
        <w:rPr>
          <w:rFonts w:hint="eastAsia"/>
        </w:rPr>
        <w:t>安全</w:t>
      </w:r>
      <w:bookmarkEnd w:id="84"/>
      <w:r>
        <w:rPr>
          <w:rFonts w:hint="eastAsia"/>
        </w:rPr>
        <w:t>保障</w:t>
      </w:r>
      <w:bookmarkEnd w:id="85"/>
    </w:p>
    <w:p w14:paraId="2848F77D">
      <w:pPr>
        <w:pStyle w:val="57"/>
        <w:ind w:firstLine="420"/>
      </w:pPr>
      <w:r>
        <w:rPr>
          <w:rFonts w:hint="eastAsia"/>
        </w:rPr>
        <w:t>在代码提交（CI）阶段，自动运行依赖漏洞扫描工具（如 safety check 或 npm audit），发现高危漏洞时阻止部署，确保采集系统自身不会引入安全风险。</w:t>
      </w:r>
    </w:p>
    <w:p w14:paraId="795B9A71">
      <w:pPr>
        <w:pStyle w:val="106"/>
        <w:spacing w:before="120" w:after="120"/>
      </w:pPr>
      <w:bookmarkStart w:id="86" w:name="_Toc211088679"/>
      <w:bookmarkStart w:id="87" w:name="_Toc211005099"/>
      <w:r>
        <w:rPr>
          <w:rFonts w:hint="eastAsia"/>
        </w:rPr>
        <w:t>合规性自我评估</w:t>
      </w:r>
      <w:bookmarkEnd w:id="86"/>
      <w:bookmarkEnd w:id="87"/>
    </w:p>
    <w:p w14:paraId="7FF3E452">
      <w:pPr>
        <w:pStyle w:val="57"/>
        <w:ind w:firstLine="420"/>
      </w:pPr>
      <w:r>
        <w:rPr>
          <w:rFonts w:hint="eastAsia"/>
        </w:rPr>
        <w:t>项目开展前，技术负责人应参照附录D进行自检并签字确认。</w:t>
      </w:r>
    </w:p>
    <w:p w14:paraId="2C599DCE">
      <w:pPr>
        <w:pStyle w:val="105"/>
        <w:spacing w:before="240" w:after="240"/>
      </w:pPr>
      <w:bookmarkStart w:id="88" w:name="_Toc211005100"/>
      <w:bookmarkStart w:id="89" w:name="_Toc209174547"/>
      <w:bookmarkStart w:id="90" w:name="_Toc211088680"/>
      <w:r>
        <w:rPr>
          <w:rFonts w:hint="eastAsia"/>
        </w:rPr>
        <w:t>数据安全</w:t>
      </w:r>
      <w:bookmarkEnd w:id="88"/>
      <w:bookmarkEnd w:id="89"/>
      <w:bookmarkEnd w:id="90"/>
    </w:p>
    <w:p w14:paraId="463AB662">
      <w:pPr>
        <w:pStyle w:val="163"/>
      </w:pPr>
      <w:r>
        <w:rPr>
          <w:rFonts w:hint="eastAsia"/>
        </w:rPr>
        <w:t>数据在网络上传输时，应启用TLS 1.2或更高版本协议进行加密。</w:t>
      </w:r>
    </w:p>
    <w:p w14:paraId="4E21FD8E">
      <w:pPr>
        <w:pStyle w:val="163"/>
      </w:pPr>
      <w:r>
        <w:rPr>
          <w:rFonts w:hint="eastAsia"/>
        </w:rPr>
        <w:t>存储收集的数据时，应采取必要的安全措施，其安全等级应至少符合GB/T 22239中规定的相应要求。</w:t>
      </w:r>
    </w:p>
    <w:p w14:paraId="7BD443F2">
      <w:pPr>
        <w:pStyle w:val="163"/>
      </w:pPr>
      <w:r>
        <w:rPr>
          <w:rFonts w:hint="eastAsia"/>
        </w:rPr>
        <w:t>应建立数据清洗规则库和校验机制，确保所收集数据的字段完整率不低于95%，准确率不低于90%。</w:t>
      </w:r>
    </w:p>
    <w:p w14:paraId="648490A3">
      <w:pPr>
        <w:pStyle w:val="105"/>
        <w:spacing w:before="240" w:after="240"/>
      </w:pPr>
      <w:bookmarkStart w:id="91" w:name="_Toc209174549"/>
      <w:bookmarkStart w:id="92" w:name="_Toc211005101"/>
      <w:bookmarkStart w:id="93" w:name="_Toc211088681"/>
      <w:r>
        <w:rPr>
          <w:rFonts w:hint="eastAsia"/>
        </w:rPr>
        <w:t>数据管理</w:t>
      </w:r>
      <w:bookmarkEnd w:id="91"/>
      <w:bookmarkEnd w:id="92"/>
      <w:bookmarkEnd w:id="93"/>
    </w:p>
    <w:p w14:paraId="06039AA2">
      <w:pPr>
        <w:pStyle w:val="106"/>
        <w:spacing w:before="120" w:after="120"/>
      </w:pPr>
      <w:bookmarkStart w:id="94" w:name="_Toc211088682"/>
      <w:r>
        <w:rPr>
          <w:rFonts w:hint="eastAsia"/>
        </w:rPr>
        <w:t>数据使用</w:t>
      </w:r>
      <w:bookmarkEnd w:id="94"/>
    </w:p>
    <w:p w14:paraId="765416DA">
      <w:pPr>
        <w:pStyle w:val="57"/>
        <w:ind w:firstLine="420"/>
      </w:pPr>
      <w:r>
        <w:rPr>
          <w:rFonts w:hint="eastAsia"/>
        </w:rPr>
        <w:t>通过自动化收集获取的数据仅限于以下用途：</w:t>
      </w:r>
    </w:p>
    <w:p w14:paraId="4B35F193">
      <w:pPr>
        <w:pStyle w:val="175"/>
        <w:numPr>
          <w:ilvl w:val="0"/>
          <w:numId w:val="32"/>
        </w:numPr>
      </w:pPr>
      <w:r>
        <w:rPr>
          <w:rFonts w:hint="eastAsia"/>
        </w:rPr>
        <w:t>提供公共服务；</w:t>
      </w:r>
    </w:p>
    <w:p w14:paraId="2FA5222B">
      <w:pPr>
        <w:pStyle w:val="175"/>
      </w:pPr>
      <w:r>
        <w:rPr>
          <w:rFonts w:hint="eastAsia"/>
        </w:rPr>
        <w:t>支持城市治理决策；</w:t>
      </w:r>
    </w:p>
    <w:p w14:paraId="3B241B6A">
      <w:pPr>
        <w:pStyle w:val="175"/>
      </w:pPr>
      <w:r>
        <w:rPr>
          <w:rFonts w:hint="eastAsia"/>
        </w:rPr>
        <w:t>进行学术研究。</w:t>
      </w:r>
    </w:p>
    <w:p w14:paraId="63FA766C">
      <w:pPr>
        <w:pStyle w:val="180"/>
      </w:pPr>
      <w:r>
        <w:rPr>
          <w:rFonts w:hint="eastAsia"/>
        </w:rPr>
        <w:t>未经数据来源方额外授权，禁止用于商业营销、用户画像、信用评分等场景。</w:t>
      </w:r>
    </w:p>
    <w:p w14:paraId="6504FD0C">
      <w:pPr>
        <w:pStyle w:val="106"/>
        <w:spacing w:before="120" w:after="120"/>
      </w:pPr>
      <w:bookmarkStart w:id="95" w:name="_Toc211088683"/>
      <w:bookmarkStart w:id="96" w:name="_Toc209174551"/>
      <w:bookmarkStart w:id="97" w:name="_Toc211005103"/>
      <w:r>
        <w:t>数据共享</w:t>
      </w:r>
      <w:bookmarkEnd w:id="95"/>
      <w:bookmarkEnd w:id="96"/>
      <w:bookmarkEnd w:id="97"/>
    </w:p>
    <w:p w14:paraId="7AA3D94C">
      <w:pPr>
        <w:pStyle w:val="166"/>
      </w:pPr>
      <w:r>
        <w:rPr>
          <w:rFonts w:hint="eastAsia"/>
        </w:rPr>
        <w:t>数据的共享和交换应优先通过当地公共数据开放平台或其他官方认可的渠道进行。</w:t>
      </w:r>
    </w:p>
    <w:p w14:paraId="3D6A9072">
      <w:pPr>
        <w:pStyle w:val="166"/>
      </w:pPr>
      <w:r>
        <w:rPr>
          <w:rFonts w:hint="eastAsia"/>
        </w:rPr>
        <w:t>数据提供方在共享数据时，应同时声明以下信息：</w:t>
      </w:r>
    </w:p>
    <w:p w14:paraId="764A1041">
      <w:pPr>
        <w:pStyle w:val="175"/>
        <w:numPr>
          <w:ilvl w:val="0"/>
          <w:numId w:val="33"/>
        </w:numPr>
      </w:pPr>
      <w:r>
        <w:rPr>
          <w:rFonts w:hint="eastAsia"/>
        </w:rPr>
        <w:t xml:space="preserve">数据来源； </w:t>
      </w:r>
    </w:p>
    <w:p w14:paraId="5BD62C4C">
      <w:pPr>
        <w:pStyle w:val="175"/>
      </w:pPr>
      <w:r>
        <w:rPr>
          <w:rFonts w:hint="eastAsia"/>
        </w:rPr>
        <w:t>数据的脱敏状态（是否已去标识化）；</w:t>
      </w:r>
    </w:p>
    <w:p w14:paraId="5BAC27E7">
      <w:pPr>
        <w:pStyle w:val="175"/>
      </w:pPr>
      <w:r>
        <w:rPr>
          <w:rFonts w:hint="eastAsia"/>
        </w:rPr>
        <w:t>数据的使用和要求。</w:t>
      </w:r>
    </w:p>
    <w:p w14:paraId="78A7A52C">
      <w:pPr>
        <w:pStyle w:val="106"/>
        <w:spacing w:before="120" w:after="120"/>
      </w:pPr>
      <w:bookmarkStart w:id="98" w:name="_Toc211088684"/>
      <w:bookmarkStart w:id="99" w:name="_Toc211005104"/>
      <w:bookmarkStart w:id="100" w:name="_Toc209174552"/>
      <w:r>
        <w:rPr>
          <w:rFonts w:hint="eastAsia"/>
        </w:rPr>
        <w:t>存留期限</w:t>
      </w:r>
      <w:bookmarkEnd w:id="98"/>
      <w:bookmarkEnd w:id="99"/>
      <w:bookmarkEnd w:id="100"/>
    </w:p>
    <w:p w14:paraId="5C64F276">
      <w:pPr>
        <w:pStyle w:val="166"/>
      </w:pPr>
      <w:r>
        <w:rPr>
          <w:rFonts w:hint="eastAsia"/>
        </w:rPr>
        <w:t>原始收集数据的存储时间原则上不应超过1年。</w:t>
      </w:r>
    </w:p>
    <w:p w14:paraId="15A98F24">
      <w:pPr>
        <w:pStyle w:val="166"/>
      </w:pPr>
      <w:r>
        <w:rPr>
          <w:rFonts w:hint="eastAsia"/>
        </w:rPr>
        <w:t>经分析处理形成的成果数据、报告等的存储时间原则上不应超过5年。</w:t>
      </w:r>
    </w:p>
    <w:p w14:paraId="53767BEC">
      <w:pPr>
        <w:pStyle w:val="166"/>
      </w:pPr>
      <w:r>
        <w:rPr>
          <w:rFonts w:hint="eastAsia"/>
        </w:rPr>
        <w:t>法律法规另有规定的，从其规定。</w:t>
      </w:r>
    </w:p>
    <w:p w14:paraId="2A33BC0C">
      <w:pPr>
        <w:pStyle w:val="105"/>
        <w:spacing w:before="240" w:after="240"/>
      </w:pPr>
      <w:bookmarkStart w:id="101" w:name="_Toc211088685"/>
      <w:bookmarkStart w:id="102" w:name="_Toc209174553"/>
      <w:bookmarkStart w:id="103" w:name="_Toc211005105"/>
      <w:r>
        <w:rPr>
          <w:rFonts w:hint="eastAsia"/>
        </w:rPr>
        <w:t>评价与改进</w:t>
      </w:r>
      <w:bookmarkEnd w:id="101"/>
      <w:bookmarkEnd w:id="102"/>
      <w:bookmarkEnd w:id="103"/>
    </w:p>
    <w:p w14:paraId="0EB37B76">
      <w:pPr>
        <w:pStyle w:val="106"/>
        <w:spacing w:before="120" w:after="120"/>
      </w:pPr>
      <w:bookmarkStart w:id="104" w:name="_Toc211088686"/>
      <w:r>
        <w:rPr>
          <w:rFonts w:hint="eastAsia"/>
        </w:rPr>
        <w:t>评价</w:t>
      </w:r>
      <w:bookmarkEnd w:id="104"/>
    </w:p>
    <w:p w14:paraId="0D6EDD50">
      <w:pPr>
        <w:pStyle w:val="57"/>
        <w:ind w:firstLine="420"/>
      </w:pPr>
      <w:r>
        <w:rPr>
          <w:rFonts w:hint="eastAsia"/>
        </w:rPr>
        <w:t>采用本标准的组织应每季度至少进行一次内部评价，评价内容包括但不限于：</w:t>
      </w:r>
    </w:p>
    <w:p w14:paraId="18AEA33A">
      <w:pPr>
        <w:pStyle w:val="175"/>
        <w:numPr>
          <w:ilvl w:val="0"/>
          <w:numId w:val="34"/>
        </w:numPr>
      </w:pPr>
      <w:r>
        <w:rPr>
          <w:rFonts w:hint="eastAsia"/>
        </w:rPr>
        <w:t>Robots协议遵循情况的记录；</w:t>
      </w:r>
    </w:p>
    <w:p w14:paraId="2A6BDE83">
      <w:pPr>
        <w:pStyle w:val="175"/>
      </w:pPr>
      <w:r>
        <w:rPr>
          <w:rFonts w:hint="eastAsia"/>
        </w:rPr>
        <w:t>数据安全日志的审查；</w:t>
      </w:r>
    </w:p>
    <w:p w14:paraId="4D996F57">
      <w:pPr>
        <w:pStyle w:val="175"/>
      </w:pPr>
      <w:r>
        <w:rPr>
          <w:rFonts w:hint="eastAsia"/>
        </w:rPr>
        <w:t>个人信息处理活动的台账记录。</w:t>
      </w:r>
    </w:p>
    <w:p w14:paraId="0752D7F8">
      <w:pPr>
        <w:pStyle w:val="106"/>
        <w:spacing w:before="120" w:after="120"/>
      </w:pPr>
      <w:bookmarkStart w:id="105" w:name="_Toc211088687"/>
      <w:r>
        <w:rPr>
          <w:rFonts w:hint="eastAsia"/>
        </w:rPr>
        <w:t>改进</w:t>
      </w:r>
      <w:bookmarkEnd w:id="105"/>
    </w:p>
    <w:p w14:paraId="1C512267">
      <w:pPr>
        <w:pStyle w:val="57"/>
        <w:ind w:firstLine="420"/>
      </w:pPr>
      <w:r>
        <w:t>根据评价结果，对存在的问题进行分析，提出整改措施，持续优化和改进数据收集方案，以确保数据质量。</w:t>
      </w:r>
    </w:p>
    <w:p w14:paraId="7636640A">
      <w:pPr>
        <w:pStyle w:val="166"/>
        <w:numPr>
          <w:ilvl w:val="3"/>
          <w:numId w:val="0"/>
        </w:numPr>
        <w:ind w:left="-619" w:leftChars="-295"/>
        <w:jc w:val="center"/>
      </w:pPr>
      <w:r>
        <w:rPr>
          <w:rFonts w:hint="eastAsia"/>
        </w:rPr>
        <w:t xml:space="preserve">       </w:t>
      </w:r>
    </w:p>
    <w:p w14:paraId="7120F62A">
      <w:pPr>
        <w:pStyle w:val="57"/>
        <w:ind w:firstLine="420"/>
        <w:sectPr>
          <w:headerReference r:id="rId15" w:type="default"/>
          <w:footerReference r:id="rId17" w:type="default"/>
          <w:headerReference r:id="rId16" w:type="even"/>
          <w:footerReference r:id="rId18" w:type="even"/>
          <w:pgSz w:w="11906" w:h="16838"/>
          <w:pgMar w:top="2010" w:right="1134" w:bottom="1134" w:left="1134" w:header="1418" w:footer="1134" w:gutter="284"/>
          <w:pgNumType w:start="1"/>
          <w:cols w:space="425" w:num="1"/>
          <w:formProt w:val="0"/>
          <w:docGrid w:linePitch="312" w:charSpace="0"/>
        </w:sectPr>
      </w:pPr>
    </w:p>
    <w:bookmarkEnd w:id="15"/>
    <w:p w14:paraId="5DE8EDC6">
      <w:pPr>
        <w:pStyle w:val="199"/>
        <w:rPr>
          <w:vanish w:val="0"/>
        </w:rPr>
      </w:pPr>
      <w:bookmarkStart w:id="106" w:name="BookMark5"/>
    </w:p>
    <w:p w14:paraId="39B138FD">
      <w:pPr>
        <w:pStyle w:val="200"/>
        <w:rPr>
          <w:vanish w:val="0"/>
        </w:rPr>
      </w:pPr>
    </w:p>
    <w:p w14:paraId="4C35B365">
      <w:pPr>
        <w:pStyle w:val="77"/>
        <w:spacing w:before="60" w:after="120"/>
      </w:pPr>
      <w:r>
        <w:br w:type="textWrapping"/>
      </w:r>
      <w:bookmarkStart w:id="107" w:name="_Toc209174556"/>
      <w:bookmarkStart w:id="108" w:name="_Toc211005108"/>
      <w:bookmarkStart w:id="109" w:name="_Toc211088688"/>
      <w:r>
        <w:rPr>
          <w:rFonts w:hint="eastAsia"/>
        </w:rPr>
        <w:t>（规范性）</w:t>
      </w:r>
      <w:r>
        <w:br w:type="textWrapping"/>
      </w:r>
      <w:r>
        <w:rPr>
          <w:rFonts w:hint="eastAsia"/>
        </w:rPr>
        <w:t>自动化数据收集声明模板</w:t>
      </w:r>
      <w:bookmarkEnd w:id="107"/>
      <w:bookmarkEnd w:id="108"/>
      <w:bookmarkEnd w:id="109"/>
    </w:p>
    <w:p w14:paraId="71880945">
      <w:pPr>
        <w:pStyle w:val="57"/>
        <w:ind w:firstLine="420"/>
      </w:pPr>
    </w:p>
    <w:p w14:paraId="38EEE1FC">
      <w:pPr>
        <w:pStyle w:val="57"/>
        <w:ind w:firstLine="420"/>
      </w:pPr>
      <w:r>
        <w:rPr>
          <w:rFonts w:hint="eastAsia"/>
        </w:rPr>
        <w:t>声明内容：实施自动化数据收集的组织应对外提供如下声明：</w:t>
      </w:r>
    </w:p>
    <w:p w14:paraId="18DBCD36">
      <w:pPr>
        <w:pStyle w:val="182"/>
      </w:pPr>
    </w:p>
    <w:p w14:paraId="562A44CE">
      <w:pPr>
        <w:pStyle w:val="57"/>
        <w:ind w:firstLine="420"/>
        <w:jc w:val="center"/>
      </w:pPr>
      <w:r>
        <w:rPr>
          <w:rFonts w:hint="eastAsia"/>
        </w:rPr>
        <w:t>[单位名称]自动化数据收集声明</w:t>
      </w:r>
    </w:p>
    <w:p w14:paraId="36B54ED1">
      <w:pPr>
        <w:pStyle w:val="57"/>
        <w:ind w:firstLine="420"/>
      </w:pPr>
      <w:r>
        <w:rPr>
          <w:rFonts w:hint="eastAsia"/>
        </w:rPr>
        <w:t>1.收集主体：[填写单位全称]</w:t>
      </w:r>
    </w:p>
    <w:p w14:paraId="298D0179">
      <w:pPr>
        <w:pStyle w:val="57"/>
        <w:ind w:firstLine="420"/>
      </w:pPr>
      <w:r>
        <w:rPr>
          <w:rFonts w:hint="eastAsia"/>
        </w:rPr>
        <w:t>2.技术标识：User-Agent: [例如：DBDA-Collector/1.0 (contact: data@xxx.org)]</w:t>
      </w:r>
    </w:p>
    <w:p w14:paraId="2C8C6698">
      <w:pPr>
        <w:pStyle w:val="57"/>
        <w:ind w:firstLine="420"/>
      </w:pPr>
      <w:r>
        <w:rPr>
          <w:rFonts w:hint="eastAsia"/>
        </w:rPr>
        <w:t>3.数据来源：[描述主要的数据来源网站或平台]</w:t>
      </w:r>
    </w:p>
    <w:p w14:paraId="219DBB49">
      <w:pPr>
        <w:pStyle w:val="57"/>
        <w:ind w:firstLine="420"/>
      </w:pPr>
      <w:r>
        <w:rPr>
          <w:rFonts w:hint="eastAsia"/>
        </w:rPr>
        <w:t>4.数据用途：[具体、明确地描述数据用途，例如：用于城市交通拥堵分析模型训练]</w:t>
      </w:r>
    </w:p>
    <w:p w14:paraId="5FC15CF0">
      <w:pPr>
        <w:pStyle w:val="57"/>
        <w:ind w:firstLine="420"/>
      </w:pPr>
      <w:r>
        <w:rPr>
          <w:rFonts w:hint="eastAsia"/>
        </w:rPr>
        <w:t>5.隐私保护：本组织已对可能包含的个人信息部署去标识化。</w:t>
      </w:r>
    </w:p>
    <w:p w14:paraId="3B847A87">
      <w:pPr>
        <w:pStyle w:val="57"/>
        <w:ind w:firstLine="420"/>
      </w:pPr>
      <w:r>
        <w:rPr>
          <w:rFonts w:hint="eastAsia"/>
        </w:rPr>
        <w:t>6.联系方式：如对本次数据收集活动有任何疑问，请联系：[电子邮箱]。</w:t>
      </w:r>
    </w:p>
    <w:p w14:paraId="1E658F0F">
      <w:pPr>
        <w:pStyle w:val="57"/>
        <w:ind w:firstLine="420"/>
      </w:pPr>
    </w:p>
    <w:p w14:paraId="7B6231F0">
      <w:pPr>
        <w:pStyle w:val="57"/>
        <w:ind w:firstLine="420"/>
      </w:pPr>
    </w:p>
    <w:p w14:paraId="06F04492">
      <w:pPr>
        <w:pStyle w:val="57"/>
        <w:ind w:firstLine="420"/>
      </w:pPr>
    </w:p>
    <w:p w14:paraId="46DE825C">
      <w:pPr>
        <w:pStyle w:val="57"/>
        <w:ind w:firstLine="420"/>
      </w:pPr>
    </w:p>
    <w:p w14:paraId="5CD4F3C4">
      <w:pPr>
        <w:pStyle w:val="57"/>
        <w:ind w:firstLine="420"/>
      </w:pPr>
    </w:p>
    <w:p w14:paraId="2E24E4FB">
      <w:pPr>
        <w:pStyle w:val="57"/>
        <w:ind w:firstLine="420"/>
      </w:pPr>
    </w:p>
    <w:p w14:paraId="671BD591">
      <w:pPr>
        <w:pStyle w:val="57"/>
        <w:ind w:firstLine="420"/>
      </w:pPr>
    </w:p>
    <w:p w14:paraId="572AE72F">
      <w:pPr>
        <w:pStyle w:val="57"/>
        <w:ind w:firstLine="420"/>
      </w:pPr>
    </w:p>
    <w:p w14:paraId="5DAD8AAB">
      <w:pPr>
        <w:pStyle w:val="57"/>
        <w:ind w:firstLine="420"/>
      </w:pPr>
    </w:p>
    <w:p w14:paraId="07E9BC2B">
      <w:pPr>
        <w:pStyle w:val="57"/>
        <w:ind w:firstLine="420"/>
      </w:pPr>
    </w:p>
    <w:p w14:paraId="402241A9">
      <w:pPr>
        <w:pStyle w:val="57"/>
        <w:ind w:firstLine="420"/>
      </w:pPr>
    </w:p>
    <w:p w14:paraId="29286245">
      <w:pPr>
        <w:pStyle w:val="57"/>
        <w:ind w:firstLine="420"/>
      </w:pPr>
    </w:p>
    <w:p w14:paraId="14C71BB0">
      <w:pPr>
        <w:pStyle w:val="57"/>
        <w:ind w:firstLine="420"/>
      </w:pPr>
    </w:p>
    <w:p w14:paraId="04C61EAB">
      <w:pPr>
        <w:pStyle w:val="57"/>
        <w:ind w:firstLine="420"/>
      </w:pPr>
    </w:p>
    <w:p w14:paraId="0E89EF3B">
      <w:pPr>
        <w:pStyle w:val="57"/>
        <w:ind w:firstLine="420"/>
      </w:pPr>
    </w:p>
    <w:p w14:paraId="3A8F1089">
      <w:pPr>
        <w:pStyle w:val="57"/>
        <w:ind w:firstLine="420"/>
      </w:pPr>
    </w:p>
    <w:p w14:paraId="7DD97168">
      <w:pPr>
        <w:pStyle w:val="57"/>
        <w:ind w:firstLine="420"/>
      </w:pPr>
    </w:p>
    <w:p w14:paraId="34338E85">
      <w:pPr>
        <w:pStyle w:val="57"/>
        <w:ind w:firstLine="420"/>
      </w:pPr>
    </w:p>
    <w:p w14:paraId="066FC4FF">
      <w:pPr>
        <w:pStyle w:val="57"/>
        <w:ind w:firstLine="420"/>
      </w:pPr>
    </w:p>
    <w:p w14:paraId="35850B00">
      <w:pPr>
        <w:pStyle w:val="57"/>
        <w:ind w:firstLine="420"/>
      </w:pPr>
    </w:p>
    <w:p w14:paraId="35A2739E">
      <w:pPr>
        <w:pStyle w:val="57"/>
        <w:ind w:firstLine="420"/>
      </w:pPr>
    </w:p>
    <w:p w14:paraId="66878070">
      <w:pPr>
        <w:pStyle w:val="57"/>
        <w:ind w:firstLine="420"/>
      </w:pPr>
    </w:p>
    <w:p w14:paraId="0E687A75">
      <w:pPr>
        <w:pStyle w:val="57"/>
        <w:ind w:firstLine="420"/>
      </w:pPr>
    </w:p>
    <w:p w14:paraId="63653B2D">
      <w:pPr>
        <w:pStyle w:val="57"/>
        <w:ind w:firstLine="420"/>
      </w:pPr>
    </w:p>
    <w:p w14:paraId="379920B3">
      <w:pPr>
        <w:pStyle w:val="57"/>
        <w:ind w:firstLine="420"/>
      </w:pPr>
    </w:p>
    <w:p w14:paraId="65C53A06">
      <w:pPr>
        <w:pStyle w:val="57"/>
        <w:ind w:firstLine="420"/>
      </w:pPr>
    </w:p>
    <w:p w14:paraId="6FB34AAB">
      <w:pPr>
        <w:pStyle w:val="57"/>
        <w:ind w:firstLine="420"/>
      </w:pPr>
    </w:p>
    <w:p w14:paraId="7C5A8768">
      <w:pPr>
        <w:pStyle w:val="57"/>
        <w:ind w:firstLine="420"/>
      </w:pPr>
    </w:p>
    <w:p w14:paraId="4FDBE370">
      <w:pPr>
        <w:pStyle w:val="57"/>
        <w:ind w:firstLine="420"/>
      </w:pPr>
    </w:p>
    <w:p w14:paraId="0C70B0FF">
      <w:pPr>
        <w:pStyle w:val="57"/>
        <w:ind w:firstLine="420"/>
      </w:pPr>
    </w:p>
    <w:p w14:paraId="244C1476">
      <w:pPr>
        <w:pStyle w:val="57"/>
        <w:ind w:firstLine="420"/>
      </w:pPr>
    </w:p>
    <w:p w14:paraId="463BEC82">
      <w:pPr>
        <w:pStyle w:val="57"/>
        <w:ind w:firstLine="420"/>
      </w:pPr>
    </w:p>
    <w:p w14:paraId="2DEA8B0D">
      <w:pPr>
        <w:pStyle w:val="57"/>
        <w:ind w:firstLine="420"/>
      </w:pPr>
    </w:p>
    <w:p w14:paraId="4218AEDE">
      <w:pPr>
        <w:pStyle w:val="199"/>
        <w:rPr>
          <w:vanish w:val="0"/>
        </w:rPr>
      </w:pPr>
    </w:p>
    <w:p w14:paraId="457FB3F4">
      <w:pPr>
        <w:pStyle w:val="200"/>
        <w:rPr>
          <w:vanish w:val="0"/>
        </w:rPr>
      </w:pPr>
    </w:p>
    <w:p w14:paraId="11054ADF">
      <w:pPr>
        <w:pStyle w:val="77"/>
        <w:spacing w:before="60" w:after="120"/>
      </w:pPr>
      <w:r>
        <w:br w:type="textWrapping"/>
      </w:r>
      <w:bookmarkStart w:id="110" w:name="_Toc211088689"/>
      <w:bookmarkStart w:id="111" w:name="_Toc209174557"/>
      <w:bookmarkStart w:id="112" w:name="_Toc211005109"/>
      <w:r>
        <w:rPr>
          <w:rFonts w:hint="eastAsia"/>
        </w:rPr>
        <w:t>（资料性）</w:t>
      </w:r>
      <w:r>
        <w:br w:type="textWrapping"/>
      </w:r>
      <w:r>
        <w:rPr>
          <w:rFonts w:hint="eastAsia"/>
        </w:rPr>
        <w:t>推荐数据源清单</w:t>
      </w:r>
      <w:bookmarkEnd w:id="110"/>
      <w:bookmarkEnd w:id="111"/>
      <w:bookmarkEnd w:id="112"/>
    </w:p>
    <w:p w14:paraId="7ECB6459">
      <w:pPr>
        <w:pStyle w:val="57"/>
        <w:ind w:firstLine="420"/>
      </w:pPr>
      <w:r>
        <w:t>表</w:t>
      </w:r>
      <w:r>
        <w:rPr>
          <w:rFonts w:hint="eastAsia"/>
        </w:rPr>
        <w:t>B</w:t>
      </w:r>
      <w:r>
        <w:t>.1规定了推荐数据源清单。</w:t>
      </w:r>
    </w:p>
    <w:p w14:paraId="092E1983">
      <w:pPr>
        <w:pStyle w:val="78"/>
        <w:spacing w:before="120" w:after="120"/>
      </w:pPr>
      <w:r>
        <w:rPr>
          <w:rFonts w:hint="eastAsia"/>
        </w:rPr>
        <w:t>推荐数据源清单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5"/>
        <w:gridCol w:w="4689"/>
      </w:tblGrid>
      <w:tr w14:paraId="76AAAA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5" w:type="dxa"/>
            <w:tcBorders>
              <w:top w:val="single" w:color="auto" w:sz="8" w:space="0"/>
              <w:bottom w:val="single" w:color="auto" w:sz="8" w:space="0"/>
            </w:tcBorders>
            <w:shd w:val="clear" w:color="auto" w:fill="auto"/>
            <w:vAlign w:val="center"/>
          </w:tcPr>
          <w:p w14:paraId="359801D8">
            <w:pPr>
              <w:pStyle w:val="179"/>
            </w:pPr>
            <w:r>
              <w:rPr>
                <w:rFonts w:hint="eastAsia"/>
              </w:rPr>
              <w:t>数据类型</w:t>
            </w:r>
          </w:p>
        </w:tc>
        <w:tc>
          <w:tcPr>
            <w:tcW w:w="4689" w:type="dxa"/>
            <w:tcBorders>
              <w:top w:val="single" w:color="auto" w:sz="8" w:space="0"/>
              <w:bottom w:val="single" w:color="auto" w:sz="8" w:space="0"/>
            </w:tcBorders>
            <w:shd w:val="clear" w:color="auto" w:fill="auto"/>
            <w:vAlign w:val="center"/>
          </w:tcPr>
          <w:p w14:paraId="4AF551D7">
            <w:pPr>
              <w:pStyle w:val="179"/>
            </w:pPr>
            <w:r>
              <w:rPr>
                <w:rFonts w:hint="eastAsia"/>
              </w:rPr>
              <w:t>可信数据源示例</w:t>
            </w:r>
          </w:p>
        </w:tc>
      </w:tr>
      <w:tr w14:paraId="5E43DC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tcBorders>
              <w:top w:val="single" w:color="auto" w:sz="8" w:space="0"/>
            </w:tcBorders>
            <w:shd w:val="clear" w:color="auto" w:fill="auto"/>
            <w:vAlign w:val="center"/>
          </w:tcPr>
          <w:p w14:paraId="732E0118">
            <w:pPr>
              <w:pStyle w:val="179"/>
            </w:pPr>
            <w:r>
              <w:rPr>
                <w:rFonts w:hint="eastAsia"/>
              </w:rPr>
              <w:t>政府公开数据</w:t>
            </w:r>
          </w:p>
        </w:tc>
        <w:tc>
          <w:tcPr>
            <w:tcW w:w="4689" w:type="dxa"/>
            <w:tcBorders>
              <w:top w:val="single" w:color="auto" w:sz="8" w:space="0"/>
            </w:tcBorders>
            <w:shd w:val="clear" w:color="auto" w:fill="auto"/>
            <w:vAlign w:val="center"/>
          </w:tcPr>
          <w:p w14:paraId="2D32CE17">
            <w:pPr>
              <w:pStyle w:val="179"/>
              <w:ind w:firstLine="720" w:firstLineChars="400"/>
              <w:jc w:val="both"/>
            </w:pPr>
            <w:r>
              <w:t>当地</w:t>
            </w:r>
            <w:r>
              <w:rPr>
                <w:rFonts w:hint="eastAsia"/>
              </w:rPr>
              <w:t>公共数据开放平台、国家统计局网站</w:t>
            </w:r>
          </w:p>
        </w:tc>
      </w:tr>
      <w:tr w14:paraId="709B3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shd w:val="clear" w:color="auto" w:fill="auto"/>
            <w:vAlign w:val="center"/>
          </w:tcPr>
          <w:p w14:paraId="524AD944">
            <w:pPr>
              <w:pStyle w:val="179"/>
            </w:pPr>
            <w:r>
              <w:rPr>
                <w:rFonts w:hint="eastAsia"/>
              </w:rPr>
              <w:t>公共事业数据</w:t>
            </w:r>
          </w:p>
        </w:tc>
        <w:tc>
          <w:tcPr>
            <w:tcW w:w="4689" w:type="dxa"/>
            <w:shd w:val="clear" w:color="auto" w:fill="auto"/>
            <w:vAlign w:val="center"/>
          </w:tcPr>
          <w:p w14:paraId="6D0F286F">
            <w:pPr>
              <w:pStyle w:val="179"/>
            </w:pPr>
            <w:r>
              <w:rPr>
                <w:rFonts w:hint="eastAsia"/>
              </w:rPr>
              <w:t>根据实际情况列举</w:t>
            </w:r>
          </w:p>
        </w:tc>
      </w:tr>
      <w:tr w14:paraId="4655A5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shd w:val="clear" w:color="auto" w:fill="auto"/>
            <w:vAlign w:val="center"/>
          </w:tcPr>
          <w:p w14:paraId="07AD9EB0">
            <w:pPr>
              <w:pStyle w:val="179"/>
            </w:pPr>
            <w:r>
              <w:rPr>
                <w:rFonts w:hint="eastAsia"/>
              </w:rPr>
              <w:t>科研数据</w:t>
            </w:r>
          </w:p>
        </w:tc>
        <w:tc>
          <w:tcPr>
            <w:tcW w:w="4689" w:type="dxa"/>
            <w:shd w:val="clear" w:color="auto" w:fill="auto"/>
            <w:vAlign w:val="center"/>
          </w:tcPr>
          <w:p w14:paraId="278D3D57">
            <w:pPr>
              <w:pStyle w:val="179"/>
            </w:pPr>
            <w:r>
              <w:rPr>
                <w:rFonts w:hint="eastAsia"/>
              </w:rPr>
              <w:t>中国科学院科学数据库体系</w:t>
            </w:r>
          </w:p>
        </w:tc>
      </w:tr>
      <w:tr w14:paraId="400CD7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shd w:val="clear" w:color="auto" w:fill="auto"/>
            <w:vAlign w:val="center"/>
          </w:tcPr>
          <w:p w14:paraId="161BBF88">
            <w:pPr>
              <w:pStyle w:val="179"/>
            </w:pPr>
            <w:r>
              <w:rPr>
                <w:rFonts w:hint="eastAsia"/>
              </w:rPr>
              <w:t>其他类型</w:t>
            </w:r>
          </w:p>
        </w:tc>
        <w:tc>
          <w:tcPr>
            <w:tcW w:w="4689" w:type="dxa"/>
            <w:shd w:val="clear" w:color="auto" w:fill="auto"/>
            <w:vAlign w:val="center"/>
          </w:tcPr>
          <w:p w14:paraId="4BB851E2">
            <w:pPr>
              <w:pStyle w:val="179"/>
            </w:pPr>
          </w:p>
        </w:tc>
      </w:tr>
    </w:tbl>
    <w:p w14:paraId="5AB91FD0">
      <w:pPr>
        <w:pStyle w:val="180"/>
      </w:pPr>
      <w:r>
        <w:rPr>
          <w:rFonts w:hint="eastAsia"/>
        </w:rPr>
        <w:t>本清单仅供参考，数据收集者需自行评估并确保数据源的合法性和可用性。</w:t>
      </w:r>
    </w:p>
    <w:p w14:paraId="04D15E39">
      <w:pPr>
        <w:pStyle w:val="57"/>
        <w:ind w:firstLine="420"/>
      </w:pPr>
    </w:p>
    <w:p w14:paraId="03AB78CE">
      <w:pPr>
        <w:pStyle w:val="57"/>
        <w:ind w:firstLine="420"/>
      </w:pPr>
    </w:p>
    <w:p w14:paraId="15A2B31D">
      <w:pPr>
        <w:pStyle w:val="57"/>
        <w:ind w:firstLine="420"/>
      </w:pPr>
    </w:p>
    <w:p w14:paraId="7CAAF4A1">
      <w:pPr>
        <w:pStyle w:val="57"/>
        <w:ind w:firstLine="420"/>
      </w:pPr>
    </w:p>
    <w:p w14:paraId="29F5E340">
      <w:pPr>
        <w:pStyle w:val="57"/>
        <w:ind w:firstLine="420"/>
      </w:pPr>
    </w:p>
    <w:p w14:paraId="535F30EE">
      <w:pPr>
        <w:pStyle w:val="57"/>
        <w:ind w:firstLine="420"/>
      </w:pPr>
    </w:p>
    <w:p w14:paraId="3A468A0E">
      <w:pPr>
        <w:pStyle w:val="57"/>
        <w:ind w:firstLine="420"/>
      </w:pPr>
    </w:p>
    <w:p w14:paraId="326191B9">
      <w:pPr>
        <w:pStyle w:val="57"/>
        <w:ind w:firstLine="420"/>
      </w:pPr>
    </w:p>
    <w:p w14:paraId="4EEF98E0">
      <w:pPr>
        <w:pStyle w:val="57"/>
        <w:ind w:firstLine="420"/>
      </w:pPr>
    </w:p>
    <w:p w14:paraId="416FF8C1">
      <w:pPr>
        <w:pStyle w:val="57"/>
        <w:ind w:firstLine="420"/>
      </w:pPr>
    </w:p>
    <w:p w14:paraId="146D53D9">
      <w:pPr>
        <w:pStyle w:val="57"/>
        <w:ind w:firstLine="420"/>
      </w:pPr>
    </w:p>
    <w:p w14:paraId="405858D7">
      <w:pPr>
        <w:pStyle w:val="57"/>
        <w:ind w:firstLine="420"/>
      </w:pPr>
    </w:p>
    <w:p w14:paraId="6EE46E81">
      <w:pPr>
        <w:pStyle w:val="57"/>
        <w:ind w:firstLine="420"/>
      </w:pPr>
    </w:p>
    <w:p w14:paraId="4E2C47D0">
      <w:pPr>
        <w:pStyle w:val="57"/>
        <w:ind w:firstLine="420"/>
      </w:pPr>
    </w:p>
    <w:p w14:paraId="274A1FB7">
      <w:pPr>
        <w:pStyle w:val="57"/>
        <w:ind w:firstLine="420"/>
      </w:pPr>
    </w:p>
    <w:p w14:paraId="1C78DE00">
      <w:pPr>
        <w:pStyle w:val="57"/>
        <w:ind w:firstLine="420"/>
      </w:pPr>
    </w:p>
    <w:p w14:paraId="4C84EA92">
      <w:pPr>
        <w:pStyle w:val="57"/>
        <w:ind w:firstLine="420"/>
      </w:pPr>
    </w:p>
    <w:p w14:paraId="4C884567">
      <w:pPr>
        <w:pStyle w:val="57"/>
        <w:ind w:firstLine="420"/>
      </w:pPr>
    </w:p>
    <w:p w14:paraId="5724FA32">
      <w:pPr>
        <w:pStyle w:val="57"/>
        <w:ind w:firstLine="420"/>
      </w:pPr>
    </w:p>
    <w:p w14:paraId="075116A9">
      <w:pPr>
        <w:pStyle w:val="57"/>
        <w:ind w:firstLine="420"/>
      </w:pPr>
    </w:p>
    <w:p w14:paraId="4BCFDD0A">
      <w:pPr>
        <w:pStyle w:val="57"/>
        <w:ind w:firstLine="420"/>
      </w:pPr>
    </w:p>
    <w:p w14:paraId="1031BDAD">
      <w:pPr>
        <w:pStyle w:val="57"/>
        <w:ind w:firstLine="420"/>
      </w:pPr>
    </w:p>
    <w:p w14:paraId="57914AE0">
      <w:pPr>
        <w:pStyle w:val="57"/>
        <w:ind w:firstLine="420"/>
      </w:pPr>
    </w:p>
    <w:p w14:paraId="2057B680">
      <w:pPr>
        <w:pStyle w:val="57"/>
        <w:ind w:firstLine="420"/>
      </w:pPr>
    </w:p>
    <w:p w14:paraId="2203E751">
      <w:pPr>
        <w:pStyle w:val="57"/>
        <w:ind w:firstLine="420"/>
      </w:pPr>
    </w:p>
    <w:p w14:paraId="009CBA7A">
      <w:pPr>
        <w:pStyle w:val="57"/>
        <w:ind w:firstLine="420"/>
      </w:pPr>
    </w:p>
    <w:p w14:paraId="0667957F">
      <w:pPr>
        <w:pStyle w:val="57"/>
        <w:ind w:firstLine="420"/>
      </w:pPr>
    </w:p>
    <w:p w14:paraId="31C6EBC9">
      <w:pPr>
        <w:pStyle w:val="57"/>
        <w:ind w:firstLine="420"/>
      </w:pPr>
    </w:p>
    <w:p w14:paraId="193D32FC">
      <w:pPr>
        <w:pStyle w:val="57"/>
        <w:ind w:firstLine="420"/>
      </w:pPr>
    </w:p>
    <w:p w14:paraId="246533EA">
      <w:pPr>
        <w:pStyle w:val="57"/>
        <w:ind w:firstLine="420"/>
      </w:pPr>
    </w:p>
    <w:p w14:paraId="22C6E3C8">
      <w:pPr>
        <w:pStyle w:val="57"/>
        <w:ind w:firstLine="420"/>
      </w:pPr>
    </w:p>
    <w:p w14:paraId="5F1A787B">
      <w:pPr>
        <w:pStyle w:val="57"/>
        <w:ind w:firstLine="420"/>
      </w:pPr>
    </w:p>
    <w:p w14:paraId="1F535411">
      <w:pPr>
        <w:pStyle w:val="57"/>
        <w:ind w:firstLine="420"/>
      </w:pPr>
    </w:p>
    <w:p w14:paraId="481BBE68">
      <w:pPr>
        <w:pStyle w:val="57"/>
        <w:ind w:firstLine="420"/>
        <w:sectPr>
          <w:headerReference r:id="rId19" w:type="default"/>
          <w:footerReference r:id="rId21" w:type="default"/>
          <w:headerReference r:id="rId20" w:type="even"/>
          <w:footerReference r:id="rId22" w:type="even"/>
          <w:pgSz w:w="11906" w:h="16838"/>
          <w:pgMar w:top="2410" w:right="1134" w:bottom="1134" w:left="1134" w:header="1418" w:footer="1134" w:gutter="284"/>
          <w:cols w:space="425" w:num="1"/>
          <w:formProt w:val="0"/>
          <w:docGrid w:linePitch="312" w:charSpace="0"/>
        </w:sectPr>
      </w:pPr>
    </w:p>
    <w:p w14:paraId="305BC41F">
      <w:pPr>
        <w:pStyle w:val="199"/>
        <w:rPr>
          <w:vanish w:val="0"/>
        </w:rPr>
      </w:pPr>
    </w:p>
    <w:p w14:paraId="08E4BEBF">
      <w:pPr>
        <w:pStyle w:val="200"/>
        <w:rPr>
          <w:vanish w:val="0"/>
        </w:rPr>
      </w:pPr>
    </w:p>
    <w:p w14:paraId="3AC099F2">
      <w:pPr>
        <w:pStyle w:val="77"/>
        <w:spacing w:before="60" w:after="120"/>
      </w:pPr>
      <w:r>
        <w:br w:type="textWrapping"/>
      </w:r>
      <w:bookmarkStart w:id="113" w:name="_Toc209174558"/>
      <w:bookmarkStart w:id="114" w:name="_Toc211088690"/>
      <w:bookmarkStart w:id="115" w:name="_Toc211005110"/>
      <w:r>
        <w:rPr>
          <w:rFonts w:hint="eastAsia"/>
        </w:rPr>
        <w:t>（规范性）</w:t>
      </w:r>
      <w:r>
        <w:br w:type="textWrapping"/>
      </w:r>
      <w:r>
        <w:rPr>
          <w:rFonts w:hint="eastAsia"/>
        </w:rPr>
        <w:t>去标识化技术指引</w:t>
      </w:r>
      <w:bookmarkEnd w:id="113"/>
      <w:bookmarkEnd w:id="114"/>
      <w:bookmarkEnd w:id="115"/>
    </w:p>
    <w:p w14:paraId="69A78A70">
      <w:pPr>
        <w:pStyle w:val="79"/>
        <w:spacing w:before="120" w:after="120"/>
      </w:pPr>
      <w:bookmarkStart w:id="116" w:name="_Toc211005111"/>
      <w:bookmarkStart w:id="117" w:name="_Toc211088691"/>
      <w:r>
        <w:rPr>
          <w:rFonts w:hint="eastAsia"/>
        </w:rPr>
        <w:t>目的</w:t>
      </w:r>
      <w:bookmarkEnd w:id="116"/>
      <w:bookmarkEnd w:id="117"/>
    </w:p>
    <w:p w14:paraId="6E008D45">
      <w:pPr>
        <w:pStyle w:val="57"/>
        <w:ind w:firstLine="420"/>
      </w:pPr>
      <w:r>
        <w:rPr>
          <w:rFonts w:hint="eastAsia"/>
        </w:rPr>
        <w:t>为本单位在自动化收集公开数据过程中，对所涉及的个人信息进行去标识化处理提供具体、可操作的技术指引。其目的是在保障个人隐私的前提下，促进数据的合理利用，确保处理活动符合《中华人民共和国个人信息保护法》和GB/T 37964的相关要求。</w:t>
      </w:r>
    </w:p>
    <w:p w14:paraId="0DBA0B38">
      <w:pPr>
        <w:pStyle w:val="79"/>
        <w:spacing w:before="120" w:after="120"/>
      </w:pPr>
      <w:bookmarkStart w:id="118" w:name="_Toc211088692"/>
      <w:bookmarkStart w:id="119" w:name="_Toc211005112"/>
      <w:r>
        <w:rPr>
          <w:rFonts w:hint="eastAsia"/>
        </w:rPr>
        <w:t>适用范围</w:t>
      </w:r>
      <w:bookmarkEnd w:id="118"/>
      <w:bookmarkEnd w:id="119"/>
    </w:p>
    <w:p w14:paraId="756104E9">
      <w:pPr>
        <w:pStyle w:val="57"/>
        <w:ind w:firstLine="420"/>
      </w:pPr>
      <w:r>
        <w:rPr>
          <w:rFonts w:hint="eastAsia"/>
        </w:rPr>
        <w:t>适用于所有通过自动化手段收集的公开数据中，识别出的或可能包含的个人信息（PII）的去标识化处理。</w:t>
      </w:r>
    </w:p>
    <w:p w14:paraId="62BAFF47">
      <w:pPr>
        <w:pStyle w:val="79"/>
        <w:spacing w:before="120" w:after="120"/>
      </w:pPr>
      <w:bookmarkStart w:id="120" w:name="_Toc211005113"/>
      <w:bookmarkStart w:id="121" w:name="_Toc211088693"/>
      <w:r>
        <w:rPr>
          <w:rFonts w:hint="eastAsia"/>
        </w:rPr>
        <w:t>基本原则</w:t>
      </w:r>
      <w:bookmarkEnd w:id="120"/>
      <w:bookmarkEnd w:id="121"/>
    </w:p>
    <w:p w14:paraId="1FFF00B3">
      <w:pPr>
        <w:pStyle w:val="80"/>
        <w:spacing w:before="120" w:after="120"/>
      </w:pPr>
      <w:r>
        <w:rPr>
          <w:rFonts w:hint="eastAsia"/>
        </w:rPr>
        <w:t>及时性原则</w:t>
      </w:r>
    </w:p>
    <w:p w14:paraId="289C345B">
      <w:pPr>
        <w:pStyle w:val="57"/>
        <w:ind w:firstLine="420"/>
      </w:pPr>
      <w:r>
        <w:rPr>
          <w:rFonts w:hint="eastAsia"/>
        </w:rPr>
        <w:t>去标识化处理应在数据采集、解析完成后，写入持久化存储之前的内存中即时完成。不应先存储原始敏感信息再进行事后处理。</w:t>
      </w:r>
    </w:p>
    <w:p w14:paraId="771D933D">
      <w:pPr>
        <w:pStyle w:val="80"/>
        <w:spacing w:before="120" w:after="120"/>
      </w:pPr>
      <w:r>
        <w:rPr>
          <w:rFonts w:hint="eastAsia"/>
        </w:rPr>
        <w:t>最小化原则</w:t>
      </w:r>
    </w:p>
    <w:p w14:paraId="47CB7367">
      <w:pPr>
        <w:pStyle w:val="57"/>
        <w:ind w:firstLine="420"/>
      </w:pPr>
      <w:r>
        <w:rPr>
          <w:rFonts w:hint="eastAsia"/>
        </w:rPr>
        <w:t>去标识化的目标是使个人信息在不借助额外信息的情况下，无法识别到特定自然人。处理应以达到此目标为限，避免过度处理导致数据价值完全丧失。</w:t>
      </w:r>
    </w:p>
    <w:p w14:paraId="36FCE395">
      <w:pPr>
        <w:pStyle w:val="80"/>
        <w:spacing w:before="120" w:after="120"/>
      </w:pPr>
      <w:r>
        <w:rPr>
          <w:rFonts w:hint="eastAsia"/>
        </w:rPr>
        <w:t>可逆性控制原则</w:t>
      </w:r>
    </w:p>
    <w:p w14:paraId="226E8718">
      <w:pPr>
        <w:pStyle w:val="57"/>
        <w:ind w:firstLine="420"/>
      </w:pPr>
      <w:r>
        <w:rPr>
          <w:rFonts w:hint="eastAsia"/>
        </w:rPr>
        <w:t>去标识化是一种可逆程度较低的处理方式，但并非完全不可逆。应采取严格措施，确保重标识（Re-identification）的风险处于可控的低水平。</w:t>
      </w:r>
    </w:p>
    <w:p w14:paraId="4B66AAF4">
      <w:pPr>
        <w:pStyle w:val="79"/>
        <w:spacing w:before="120" w:after="120"/>
      </w:pPr>
      <w:bookmarkStart w:id="122" w:name="_Toc211005114"/>
      <w:bookmarkStart w:id="123" w:name="_Toc211088694"/>
      <w:r>
        <w:t>技术实施流程</w:t>
      </w:r>
      <w:bookmarkEnd w:id="122"/>
      <w:bookmarkEnd w:id="123"/>
    </w:p>
    <w:p w14:paraId="2041E5F9">
      <w:pPr>
        <w:pStyle w:val="80"/>
        <w:spacing w:before="120" w:after="120"/>
      </w:pPr>
      <w:r>
        <w:rPr>
          <w:rFonts w:hint="eastAsia"/>
        </w:rPr>
        <w:t>识别个人信息字段</w:t>
      </w:r>
    </w:p>
    <w:p w14:paraId="6548D940">
      <w:pPr>
        <w:pStyle w:val="57"/>
        <w:ind w:firstLine="420"/>
      </w:pPr>
      <w:r>
        <w:rPr>
          <w:rFonts w:hint="eastAsia"/>
        </w:rPr>
        <w:t>在数据采集方案设计阶段，即应根据数据源的特性，预先识别可能存在的个人信息字段。</w:t>
      </w:r>
    </w:p>
    <w:p w14:paraId="0290FD7C">
      <w:pPr>
        <w:pStyle w:val="57"/>
        <w:ind w:firstLine="420"/>
      </w:pPr>
      <w:r>
        <w:rPr>
          <w:rFonts w:hint="eastAsia"/>
        </w:rPr>
        <w:t>技术实现：在数据解析脚本中，建立一个 PII_FIELD_MAP 字典，明确标注哪些字段需要进行去标识化处理。</w:t>
      </w:r>
    </w:p>
    <w:p w14:paraId="7676B1B5">
      <w:pPr>
        <w:pStyle w:val="80"/>
        <w:spacing w:before="120" w:after="120"/>
      </w:pPr>
      <w:r>
        <w:rPr>
          <w:rFonts w:hint="eastAsia"/>
        </w:rPr>
        <w:t>选择去标识化技术</w:t>
      </w:r>
    </w:p>
    <w:p w14:paraId="2173C8F2">
      <w:pPr>
        <w:pStyle w:val="57"/>
        <w:ind w:firstLine="420"/>
      </w:pPr>
      <w:r>
        <w:rPr>
          <w:rFonts w:hint="eastAsia"/>
        </w:rPr>
        <w:t>根据数据的类型、用途和风险等级，选择一种或多种组合的去标识化技术。常用技术见表C</w:t>
      </w:r>
      <w:r>
        <w:t>.1</w:t>
      </w:r>
      <w:r>
        <w:rPr>
          <w:rFonts w:hint="eastAsia"/>
        </w:rPr>
        <w:t>。</w:t>
      </w:r>
    </w:p>
    <w:p w14:paraId="2AC63171">
      <w:pPr>
        <w:pStyle w:val="78"/>
        <w:spacing w:before="120" w:after="120"/>
      </w:pPr>
      <w:r>
        <w:t>选择去标识化技术</w:t>
      </w:r>
    </w:p>
    <w:tbl>
      <w:tblPr>
        <w:tblStyle w:val="28"/>
        <w:tblW w:w="103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5"/>
        <w:gridCol w:w="2594"/>
        <w:gridCol w:w="2614"/>
        <w:gridCol w:w="2924"/>
      </w:tblGrid>
      <w:tr w14:paraId="53AF9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5" w:type="dxa"/>
            <w:tcBorders>
              <w:top w:val="single" w:color="auto" w:sz="8" w:space="0"/>
              <w:bottom w:val="single" w:color="auto" w:sz="8" w:space="0"/>
            </w:tcBorders>
            <w:shd w:val="clear" w:color="auto" w:fill="auto"/>
            <w:vAlign w:val="center"/>
          </w:tcPr>
          <w:p w14:paraId="40F2D472">
            <w:pPr>
              <w:pStyle w:val="179"/>
            </w:pPr>
            <w:r>
              <w:rPr>
                <w:rFonts w:hint="eastAsia"/>
              </w:rPr>
              <w:t>技术方法</w:t>
            </w:r>
          </w:p>
        </w:tc>
        <w:tc>
          <w:tcPr>
            <w:tcW w:w="2594" w:type="dxa"/>
            <w:tcBorders>
              <w:top w:val="single" w:color="auto" w:sz="8" w:space="0"/>
              <w:bottom w:val="single" w:color="auto" w:sz="8" w:space="0"/>
            </w:tcBorders>
            <w:shd w:val="clear" w:color="auto" w:fill="auto"/>
            <w:vAlign w:val="center"/>
          </w:tcPr>
          <w:p w14:paraId="7DAAFA40">
            <w:pPr>
              <w:pStyle w:val="179"/>
            </w:pPr>
            <w:r>
              <w:rPr>
                <w:rFonts w:hint="eastAsia"/>
              </w:rPr>
              <w:t>说明</w:t>
            </w:r>
          </w:p>
        </w:tc>
        <w:tc>
          <w:tcPr>
            <w:tcW w:w="2614" w:type="dxa"/>
            <w:tcBorders>
              <w:top w:val="single" w:color="auto" w:sz="8" w:space="0"/>
              <w:bottom w:val="single" w:color="auto" w:sz="8" w:space="0"/>
            </w:tcBorders>
            <w:shd w:val="clear" w:color="auto" w:fill="auto"/>
            <w:vAlign w:val="center"/>
          </w:tcPr>
          <w:p w14:paraId="4754AE8D">
            <w:pPr>
              <w:pStyle w:val="179"/>
            </w:pPr>
            <w:r>
              <w:rPr>
                <w:rFonts w:hint="eastAsia"/>
              </w:rPr>
              <w:t>适用场景</w:t>
            </w:r>
          </w:p>
        </w:tc>
        <w:tc>
          <w:tcPr>
            <w:tcW w:w="2924" w:type="dxa"/>
            <w:tcBorders>
              <w:top w:val="single" w:color="auto" w:sz="8" w:space="0"/>
              <w:bottom w:val="single" w:color="auto" w:sz="8" w:space="0"/>
            </w:tcBorders>
            <w:shd w:val="clear" w:color="auto" w:fill="auto"/>
            <w:vAlign w:val="center"/>
          </w:tcPr>
          <w:p w14:paraId="5097FA94">
            <w:pPr>
              <w:pStyle w:val="179"/>
            </w:pPr>
            <w:r>
              <w:rPr>
                <w:rFonts w:hint="eastAsia"/>
              </w:rPr>
              <w:t>示例</w:t>
            </w:r>
          </w:p>
        </w:tc>
      </w:tr>
      <w:tr w14:paraId="0C7E6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5" w:type="dxa"/>
            <w:tcBorders>
              <w:top w:val="single" w:color="auto" w:sz="8" w:space="0"/>
            </w:tcBorders>
            <w:shd w:val="clear" w:color="auto" w:fill="auto"/>
            <w:vAlign w:val="center"/>
          </w:tcPr>
          <w:p w14:paraId="795F9E38">
            <w:pPr>
              <w:pStyle w:val="179"/>
            </w:pPr>
            <w:r>
              <w:rPr>
                <w:rFonts w:hint="eastAsia"/>
              </w:rPr>
              <w:t>删除 (Deletion)</w:t>
            </w:r>
          </w:p>
        </w:tc>
        <w:tc>
          <w:tcPr>
            <w:tcW w:w="2594" w:type="dxa"/>
            <w:tcBorders>
              <w:top w:val="single" w:color="auto" w:sz="8" w:space="0"/>
            </w:tcBorders>
            <w:shd w:val="clear" w:color="auto" w:fill="auto"/>
            <w:vAlign w:val="center"/>
          </w:tcPr>
          <w:p w14:paraId="54F18461">
            <w:pPr>
              <w:pStyle w:val="179"/>
              <w:jc w:val="left"/>
            </w:pPr>
            <w:r>
              <w:rPr>
                <w:rFonts w:hint="eastAsia"/>
              </w:rPr>
              <w:t>彻底移除个人信息字段。</w:t>
            </w:r>
          </w:p>
        </w:tc>
        <w:tc>
          <w:tcPr>
            <w:tcW w:w="2614" w:type="dxa"/>
            <w:tcBorders>
              <w:top w:val="single" w:color="auto" w:sz="8" w:space="0"/>
            </w:tcBorders>
            <w:shd w:val="clear" w:color="auto" w:fill="auto"/>
            <w:vAlign w:val="center"/>
          </w:tcPr>
          <w:p w14:paraId="31575151">
            <w:pPr>
              <w:pStyle w:val="179"/>
            </w:pPr>
            <w:r>
              <w:rPr>
                <w:rFonts w:hint="eastAsia"/>
              </w:rPr>
              <w:t>当该信息对业务分析完全无用时。</w:t>
            </w:r>
          </w:p>
        </w:tc>
        <w:tc>
          <w:tcPr>
            <w:tcW w:w="2924" w:type="dxa"/>
            <w:tcBorders>
              <w:top w:val="single" w:color="auto" w:sz="8" w:space="0"/>
            </w:tcBorders>
            <w:shd w:val="clear" w:color="auto" w:fill="auto"/>
            <w:vAlign w:val="center"/>
          </w:tcPr>
          <w:p w14:paraId="0C286760">
            <w:pPr>
              <w:pStyle w:val="179"/>
              <w:jc w:val="left"/>
            </w:pPr>
            <w:r>
              <w:rPr>
                <w:rFonts w:hint="eastAsia"/>
              </w:rPr>
              <w:t>删除“家庭住址”字段。</w:t>
            </w:r>
          </w:p>
        </w:tc>
      </w:tr>
      <w:tr w14:paraId="7266B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5" w:type="dxa"/>
            <w:shd w:val="clear" w:color="auto" w:fill="auto"/>
            <w:vAlign w:val="center"/>
          </w:tcPr>
          <w:p w14:paraId="51F99D6B">
            <w:pPr>
              <w:pStyle w:val="179"/>
            </w:pPr>
            <w:r>
              <w:rPr>
                <w:rFonts w:hint="eastAsia"/>
              </w:rPr>
              <w:t>泛化 (Generalization)</w:t>
            </w:r>
          </w:p>
        </w:tc>
        <w:tc>
          <w:tcPr>
            <w:tcW w:w="2594" w:type="dxa"/>
            <w:shd w:val="clear" w:color="auto" w:fill="auto"/>
            <w:vAlign w:val="center"/>
          </w:tcPr>
          <w:p w14:paraId="6940C2BB">
            <w:pPr>
              <w:pStyle w:val="179"/>
              <w:jc w:val="left"/>
            </w:pPr>
            <w:r>
              <w:rPr>
                <w:rFonts w:hint="eastAsia"/>
              </w:rPr>
              <w:t>将精确值替换为较宽泛的区间或类别。</w:t>
            </w:r>
          </w:p>
        </w:tc>
        <w:tc>
          <w:tcPr>
            <w:tcW w:w="2614" w:type="dxa"/>
            <w:shd w:val="clear" w:color="auto" w:fill="auto"/>
            <w:vAlign w:val="center"/>
          </w:tcPr>
          <w:p w14:paraId="4859DF40">
            <w:pPr>
              <w:pStyle w:val="179"/>
            </w:pPr>
            <w:r>
              <w:rPr>
                <w:rFonts w:hint="eastAsia"/>
              </w:rPr>
              <w:t>需要保留部分信息用于统计分析。</w:t>
            </w:r>
          </w:p>
        </w:tc>
        <w:tc>
          <w:tcPr>
            <w:tcW w:w="2924" w:type="dxa"/>
            <w:shd w:val="clear" w:color="auto" w:fill="auto"/>
            <w:vAlign w:val="center"/>
          </w:tcPr>
          <w:p w14:paraId="79A68CED">
            <w:pPr>
              <w:pStyle w:val="179"/>
              <w:jc w:val="left"/>
            </w:pPr>
            <w:r>
              <w:rPr>
                <w:rFonts w:hint="eastAsia"/>
              </w:rPr>
              <w:t>将年龄“25”泛化为“20</w:t>
            </w:r>
            <w:r>
              <w:rPr>
                <w:rFonts w:hint="eastAsia" w:hAnsi="宋体"/>
              </w:rPr>
              <w:t>～</w:t>
            </w:r>
            <w:r>
              <w:rPr>
                <w:rFonts w:hint="eastAsia"/>
              </w:rPr>
              <w:t>30岁”；将精确坐标“121.5, 38.9”泛化为“大连市甘井子区”。</w:t>
            </w:r>
          </w:p>
        </w:tc>
      </w:tr>
      <w:tr w14:paraId="2388E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5" w:type="dxa"/>
            <w:shd w:val="clear" w:color="auto" w:fill="auto"/>
            <w:vAlign w:val="center"/>
          </w:tcPr>
          <w:p w14:paraId="1819D8A8">
            <w:pPr>
              <w:pStyle w:val="179"/>
            </w:pPr>
            <w:r>
              <w:rPr>
                <w:rFonts w:hint="eastAsia"/>
              </w:rPr>
              <w:t>哈希 (Hashing)</w:t>
            </w:r>
          </w:p>
        </w:tc>
        <w:tc>
          <w:tcPr>
            <w:tcW w:w="2594" w:type="dxa"/>
            <w:shd w:val="clear" w:color="auto" w:fill="auto"/>
            <w:vAlign w:val="center"/>
          </w:tcPr>
          <w:p w14:paraId="5F1E2DE6">
            <w:pPr>
              <w:pStyle w:val="179"/>
              <w:jc w:val="left"/>
            </w:pPr>
            <w:r>
              <w:rPr>
                <w:rFonts w:hint="eastAsia"/>
              </w:rPr>
              <w:t>使用哈希函数（如SHA-256）将原始值转换为固定长度的摘要。</w:t>
            </w:r>
          </w:p>
        </w:tc>
        <w:tc>
          <w:tcPr>
            <w:tcW w:w="2614" w:type="dxa"/>
            <w:shd w:val="clear" w:color="auto" w:fill="auto"/>
            <w:vAlign w:val="center"/>
          </w:tcPr>
          <w:p w14:paraId="7AD6F533">
            <w:pPr>
              <w:pStyle w:val="179"/>
            </w:pPr>
            <w:r>
              <w:rPr>
                <w:rFonts w:hint="eastAsia"/>
              </w:rPr>
              <w:t>需要保持数据的唯一性以便比对，但不希望暴露原文。</w:t>
            </w:r>
          </w:p>
        </w:tc>
        <w:tc>
          <w:tcPr>
            <w:tcW w:w="2924" w:type="dxa"/>
            <w:shd w:val="clear" w:color="auto" w:fill="auto"/>
            <w:vAlign w:val="center"/>
          </w:tcPr>
          <w:p w14:paraId="7C2AF7F3">
            <w:pPr>
              <w:pStyle w:val="179"/>
              <w:jc w:val="left"/>
            </w:pPr>
            <w:r>
              <w:rPr>
                <w:rFonts w:hint="eastAsia"/>
              </w:rPr>
              <w:t>将邮箱“zhangsan@example.com”哈希为“e3b0c44...”。</w:t>
            </w:r>
          </w:p>
          <w:p w14:paraId="4C4337EC">
            <w:pPr>
              <w:pStyle w:val="179"/>
              <w:jc w:val="left"/>
            </w:pPr>
            <w:r>
              <w:rPr>
                <w:rFonts w:hint="eastAsia"/>
              </w:rPr>
              <w:t>注意：应加盐（Salt）以防止彩虹表攻击。</w:t>
            </w:r>
          </w:p>
        </w:tc>
      </w:tr>
      <w:tr w14:paraId="36C5A5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5" w:type="dxa"/>
            <w:shd w:val="clear" w:color="auto" w:fill="auto"/>
            <w:vAlign w:val="center"/>
          </w:tcPr>
          <w:p w14:paraId="47019900">
            <w:pPr>
              <w:pStyle w:val="179"/>
            </w:pPr>
            <w:r>
              <w:rPr>
                <w:rFonts w:hint="eastAsia"/>
              </w:rPr>
              <w:t>加密 (Encryption)</w:t>
            </w:r>
          </w:p>
        </w:tc>
        <w:tc>
          <w:tcPr>
            <w:tcW w:w="2594" w:type="dxa"/>
            <w:shd w:val="clear" w:color="auto" w:fill="auto"/>
            <w:vAlign w:val="center"/>
          </w:tcPr>
          <w:p w14:paraId="4C9B2F90">
            <w:pPr>
              <w:pStyle w:val="179"/>
              <w:jc w:val="left"/>
            </w:pPr>
            <w:r>
              <w:rPr>
                <w:rFonts w:hint="eastAsia"/>
              </w:rPr>
              <w:t>使用加密算法（如AES）对数据进行加密。</w:t>
            </w:r>
          </w:p>
        </w:tc>
        <w:tc>
          <w:tcPr>
            <w:tcW w:w="2614" w:type="dxa"/>
            <w:shd w:val="clear" w:color="auto" w:fill="auto"/>
            <w:vAlign w:val="center"/>
          </w:tcPr>
          <w:p w14:paraId="3EAA4AF0">
            <w:pPr>
              <w:pStyle w:val="179"/>
            </w:pPr>
            <w:r>
              <w:rPr>
                <w:rFonts w:hint="eastAsia"/>
              </w:rPr>
              <w:t>需要在受控环境下恢复原始数据，且有严格的密钥管理能力。</w:t>
            </w:r>
          </w:p>
        </w:tc>
        <w:tc>
          <w:tcPr>
            <w:tcW w:w="2924" w:type="dxa"/>
            <w:shd w:val="clear" w:color="auto" w:fill="auto"/>
            <w:vAlign w:val="center"/>
          </w:tcPr>
          <w:p w14:paraId="105B4D8B">
            <w:pPr>
              <w:pStyle w:val="179"/>
              <w:jc w:val="left"/>
            </w:pPr>
            <w:r>
              <w:rPr>
                <w:rFonts w:hint="eastAsia"/>
              </w:rPr>
              <w:t>加密身份证号码。</w:t>
            </w:r>
          </w:p>
          <w:p w14:paraId="1E98AEDF">
            <w:pPr>
              <w:pStyle w:val="179"/>
              <w:jc w:val="left"/>
            </w:pPr>
            <w:r>
              <w:rPr>
                <w:rFonts w:hint="eastAsia"/>
              </w:rPr>
              <w:t>注意：加密后仍被视为个人信息，需同等保护。</w:t>
            </w:r>
          </w:p>
        </w:tc>
      </w:tr>
    </w:tbl>
    <w:p w14:paraId="34ED09A9">
      <w:pPr>
        <w:pStyle w:val="80"/>
        <w:spacing w:before="120" w:after="120"/>
      </w:pPr>
      <w:r>
        <w:rPr>
          <w:rFonts w:hint="eastAsia"/>
        </w:rPr>
        <w:t>密钥与元数据管理</w:t>
      </w:r>
    </w:p>
    <w:p w14:paraId="4303B572">
      <w:pPr>
        <w:pStyle w:val="82"/>
        <w:spacing w:before="120" w:after="120"/>
      </w:pPr>
      <w:r>
        <w:rPr>
          <w:rFonts w:hint="eastAsia"/>
        </w:rPr>
        <w:t>密钥</w:t>
      </w:r>
    </w:p>
    <w:p w14:paraId="46293B2E">
      <w:pPr>
        <w:pStyle w:val="57"/>
        <w:ind w:firstLine="420"/>
      </w:pPr>
      <w:r>
        <w:rPr>
          <w:rFonts w:hint="eastAsia"/>
        </w:rPr>
        <w:t>如果使用了加盐哈希或加密技术，所产生的盐值（Salt）和密钥（Key） 应被视为高度敏感信息。管理要求如下：</w:t>
      </w:r>
    </w:p>
    <w:p w14:paraId="4FE6336B">
      <w:pPr>
        <w:pStyle w:val="175"/>
        <w:numPr>
          <w:ilvl w:val="0"/>
          <w:numId w:val="35"/>
        </w:numPr>
      </w:pPr>
      <w:r>
        <w:rPr>
          <w:rFonts w:hint="eastAsia"/>
        </w:rPr>
        <w:t>盐值和密钥应与去标识化后的数据物理分离存储；</w:t>
      </w:r>
    </w:p>
    <w:p w14:paraId="391DA44F">
      <w:pPr>
        <w:pStyle w:val="175"/>
      </w:pPr>
      <w:r>
        <w:rPr>
          <w:rFonts w:hint="eastAsia"/>
        </w:rPr>
        <w:t>应由独立的密钥管理系统（KMS）或专人保管，严格限制访问权限；</w:t>
      </w:r>
    </w:p>
    <w:p w14:paraId="2722576E">
      <w:pPr>
        <w:pStyle w:val="175"/>
      </w:pPr>
      <w:r>
        <w:rPr>
          <w:rFonts w:hint="eastAsia"/>
        </w:rPr>
        <w:t>记录密钥的创建、轮换和销毁日志。</w:t>
      </w:r>
    </w:p>
    <w:p w14:paraId="0612F615">
      <w:pPr>
        <w:pStyle w:val="82"/>
        <w:spacing w:before="120" w:after="120"/>
      </w:pPr>
      <w:r>
        <w:t>元数据</w:t>
      </w:r>
    </w:p>
    <w:p w14:paraId="34AB3123">
      <w:pPr>
        <w:pStyle w:val="57"/>
        <w:ind w:firstLine="420"/>
        <w:rPr>
          <w:rFonts w:hint="eastAsia"/>
        </w:rPr>
      </w:pPr>
      <w:r>
        <w:t>元数据管理要求如下：</w:t>
      </w:r>
    </w:p>
    <w:p w14:paraId="7210C455">
      <w:pPr>
        <w:pStyle w:val="175"/>
        <w:numPr>
          <w:ilvl w:val="0"/>
          <w:numId w:val="36"/>
        </w:numPr>
        <w:rPr>
          <w:rFonts w:hint="eastAsia"/>
        </w:rPr>
      </w:pPr>
      <w:r>
        <w:rPr>
          <w:rFonts w:hint="eastAsia"/>
        </w:rPr>
        <w:t>在去标识化过程中产生和使用的元数据，尤其是能够重新识别出原始个人信息的映射关系，应被视为高度敏感信息。管理要求如下：</w:t>
      </w:r>
    </w:p>
    <w:p w14:paraId="2A6E341F">
      <w:pPr>
        <w:pStyle w:val="175"/>
        <w:rPr>
          <w:rFonts w:hint="eastAsia"/>
        </w:rPr>
      </w:pPr>
      <w:r>
        <w:rPr>
          <w:rFonts w:hint="eastAsia"/>
        </w:rPr>
        <w:t>去标识化映射表、重标识策略等关键元数据应与去标识化后的数据物理分离存储；</w:t>
      </w:r>
    </w:p>
    <w:p w14:paraId="17ECC982">
      <w:pPr>
        <w:pStyle w:val="175"/>
        <w:rPr>
          <w:rFonts w:hint="eastAsia"/>
        </w:rPr>
      </w:pPr>
      <w:r>
        <w:rPr>
          <w:rFonts w:hint="eastAsia"/>
        </w:rPr>
        <w:t>应对元数据的访问、查询和修改操作实施严格的访问控制与审计，确保仅授权人员或系统在必要时可访问；</w:t>
      </w:r>
    </w:p>
    <w:p w14:paraId="198F99D9">
      <w:pPr>
        <w:pStyle w:val="175"/>
        <w:rPr>
          <w:rFonts w:hint="eastAsia"/>
        </w:rPr>
      </w:pPr>
      <w:r>
        <w:rPr>
          <w:rFonts w:hint="eastAsia"/>
        </w:rPr>
        <w:t>记录元数据的创建、修改、访问和销毁日志，特别是所有重标识操作</w:t>
      </w:r>
      <w:r>
        <w:rPr>
          <w:rFonts w:hint="eastAsia"/>
          <w:lang w:val="en-US" w:eastAsia="zh-CN"/>
        </w:rPr>
        <w:t>应</w:t>
      </w:r>
      <w:r>
        <w:rPr>
          <w:rFonts w:hint="eastAsia"/>
        </w:rPr>
        <w:t>记录详尽的审计日志；</w:t>
      </w:r>
    </w:p>
    <w:p w14:paraId="6C2EFECE">
      <w:pPr>
        <w:pStyle w:val="175"/>
      </w:pPr>
      <w:r>
        <w:rPr>
          <w:rFonts w:hint="eastAsia"/>
        </w:rPr>
        <w:t>应建立元数据的保留与销毁策略，当原始数据被删除或其保留期限到期时，相应的去标识化映射关系等元数据应被安全、及时地销毁。</w:t>
      </w:r>
    </w:p>
    <w:p w14:paraId="763A01D9">
      <w:pPr>
        <w:pStyle w:val="57"/>
        <w:ind w:firstLine="420"/>
      </w:pPr>
    </w:p>
    <w:p w14:paraId="02E752D8">
      <w:pPr>
        <w:pStyle w:val="57"/>
        <w:ind w:firstLine="420"/>
      </w:pPr>
    </w:p>
    <w:p w14:paraId="7A0DBE73">
      <w:pPr>
        <w:pStyle w:val="57"/>
        <w:ind w:firstLine="420"/>
      </w:pPr>
    </w:p>
    <w:p w14:paraId="4DE58817">
      <w:pPr>
        <w:pStyle w:val="175"/>
        <w:numPr>
          <w:ilvl w:val="0"/>
          <w:numId w:val="0"/>
        </w:numPr>
        <w:ind w:left="425"/>
      </w:pPr>
    </w:p>
    <w:p w14:paraId="6B7149D3">
      <w:pPr>
        <w:pStyle w:val="57"/>
        <w:ind w:firstLine="420"/>
      </w:pPr>
    </w:p>
    <w:p w14:paraId="3DC965E9">
      <w:pPr>
        <w:pStyle w:val="57"/>
        <w:ind w:firstLine="420"/>
      </w:pPr>
    </w:p>
    <w:p w14:paraId="5D8E32C3">
      <w:pPr>
        <w:pStyle w:val="57"/>
        <w:ind w:firstLine="420"/>
      </w:pPr>
    </w:p>
    <w:p w14:paraId="3597FD92">
      <w:pPr>
        <w:pStyle w:val="57"/>
        <w:ind w:firstLine="420"/>
      </w:pPr>
    </w:p>
    <w:p w14:paraId="687AE83E">
      <w:pPr>
        <w:pStyle w:val="57"/>
        <w:ind w:firstLine="420"/>
      </w:pPr>
    </w:p>
    <w:p w14:paraId="7ADC6023">
      <w:pPr>
        <w:pStyle w:val="57"/>
        <w:ind w:firstLine="420"/>
      </w:pPr>
    </w:p>
    <w:p w14:paraId="153317BA">
      <w:pPr>
        <w:pStyle w:val="57"/>
        <w:ind w:firstLine="420"/>
      </w:pPr>
    </w:p>
    <w:p w14:paraId="40A09BB7">
      <w:pPr>
        <w:pStyle w:val="57"/>
        <w:ind w:firstLine="420"/>
      </w:pPr>
    </w:p>
    <w:p w14:paraId="02300555">
      <w:pPr>
        <w:pStyle w:val="57"/>
        <w:ind w:firstLine="420"/>
      </w:pPr>
    </w:p>
    <w:p w14:paraId="4F0857C0">
      <w:pPr>
        <w:pStyle w:val="57"/>
        <w:ind w:firstLine="420"/>
      </w:pPr>
    </w:p>
    <w:p w14:paraId="4E1D8111">
      <w:pPr>
        <w:pStyle w:val="57"/>
        <w:ind w:firstLine="420"/>
      </w:pPr>
    </w:p>
    <w:p w14:paraId="4BADAF45">
      <w:pPr>
        <w:pStyle w:val="57"/>
        <w:ind w:firstLine="420"/>
      </w:pPr>
    </w:p>
    <w:p w14:paraId="07F4571F">
      <w:pPr>
        <w:pStyle w:val="57"/>
        <w:ind w:firstLine="420"/>
      </w:pPr>
    </w:p>
    <w:p w14:paraId="110AC151">
      <w:pPr>
        <w:pStyle w:val="57"/>
        <w:ind w:firstLine="420"/>
      </w:pPr>
    </w:p>
    <w:p w14:paraId="1D7CC9F5">
      <w:pPr>
        <w:pStyle w:val="57"/>
        <w:ind w:firstLine="420"/>
      </w:pPr>
    </w:p>
    <w:p w14:paraId="04947DF1">
      <w:pPr>
        <w:pStyle w:val="57"/>
        <w:ind w:firstLine="420"/>
      </w:pPr>
    </w:p>
    <w:p w14:paraId="41AD90B4">
      <w:pPr>
        <w:pStyle w:val="57"/>
        <w:ind w:firstLine="420"/>
      </w:pPr>
    </w:p>
    <w:p w14:paraId="170FF88C">
      <w:pPr>
        <w:pStyle w:val="57"/>
        <w:ind w:firstLine="420"/>
      </w:pPr>
    </w:p>
    <w:p w14:paraId="2E7BC348">
      <w:pPr>
        <w:pStyle w:val="57"/>
        <w:ind w:firstLine="420"/>
      </w:pPr>
    </w:p>
    <w:p w14:paraId="7EE0768C">
      <w:pPr>
        <w:pStyle w:val="57"/>
        <w:ind w:firstLine="420"/>
      </w:pPr>
    </w:p>
    <w:p w14:paraId="630D0D51">
      <w:pPr>
        <w:pStyle w:val="57"/>
        <w:ind w:firstLine="420"/>
      </w:pPr>
    </w:p>
    <w:p w14:paraId="1A928592">
      <w:pPr>
        <w:pStyle w:val="57"/>
        <w:ind w:firstLine="420"/>
      </w:pPr>
    </w:p>
    <w:p w14:paraId="4B4679E6">
      <w:pPr>
        <w:pStyle w:val="57"/>
        <w:ind w:firstLine="420"/>
      </w:pPr>
    </w:p>
    <w:p w14:paraId="079B40C3">
      <w:pPr>
        <w:pStyle w:val="57"/>
        <w:ind w:firstLine="420"/>
      </w:pPr>
    </w:p>
    <w:p w14:paraId="67D08465">
      <w:pPr>
        <w:pStyle w:val="57"/>
        <w:ind w:firstLine="420"/>
      </w:pPr>
    </w:p>
    <w:p w14:paraId="55137206">
      <w:pPr>
        <w:pStyle w:val="57"/>
        <w:ind w:firstLine="420"/>
      </w:pPr>
    </w:p>
    <w:p w14:paraId="27A2BC0E">
      <w:pPr>
        <w:pStyle w:val="57"/>
        <w:ind w:firstLine="420"/>
      </w:pPr>
    </w:p>
    <w:p w14:paraId="4C6A44CE">
      <w:pPr>
        <w:pStyle w:val="57"/>
        <w:ind w:firstLine="420"/>
      </w:pPr>
    </w:p>
    <w:p w14:paraId="5F9BD79B">
      <w:pPr>
        <w:pStyle w:val="57"/>
        <w:ind w:firstLine="420"/>
      </w:pPr>
    </w:p>
    <w:p w14:paraId="39EAF070">
      <w:pPr>
        <w:pStyle w:val="57"/>
        <w:ind w:firstLine="420"/>
      </w:pPr>
    </w:p>
    <w:p w14:paraId="3B58AB73">
      <w:pPr>
        <w:pStyle w:val="199"/>
        <w:rPr>
          <w:vanish w:val="0"/>
        </w:rPr>
      </w:pPr>
    </w:p>
    <w:p w14:paraId="447F49FD">
      <w:pPr>
        <w:pStyle w:val="200"/>
        <w:rPr>
          <w:vanish w:val="0"/>
        </w:rPr>
      </w:pPr>
    </w:p>
    <w:p w14:paraId="0705EBEF">
      <w:pPr>
        <w:pStyle w:val="77"/>
        <w:spacing w:before="60" w:after="120"/>
      </w:pPr>
      <w:r>
        <w:br w:type="textWrapping"/>
      </w:r>
      <w:bookmarkStart w:id="124" w:name="_Toc211005115"/>
      <w:bookmarkStart w:id="125" w:name="_Toc211088695"/>
      <w:r>
        <w:rPr>
          <w:rFonts w:hint="eastAsia"/>
        </w:rPr>
        <w:t>（资料性）</w:t>
      </w:r>
      <w:r>
        <w:br w:type="textWrapping"/>
      </w:r>
      <w:r>
        <w:rPr>
          <w:rFonts w:hint="eastAsia"/>
        </w:rPr>
        <w:t>合规性自查清单</w:t>
      </w:r>
      <w:bookmarkEnd w:id="124"/>
      <w:bookmarkEnd w:id="125"/>
    </w:p>
    <w:p w14:paraId="381AD781">
      <w:pPr>
        <w:pStyle w:val="57"/>
        <w:ind w:firstLine="420"/>
      </w:pPr>
      <w:r>
        <w:t>自动化采集项目技术合规自检表如</w:t>
      </w:r>
      <w:r>
        <w:rPr>
          <w:rFonts w:hint="eastAsia"/>
        </w:rPr>
        <w:t>D</w:t>
      </w:r>
      <w:r>
        <w:t>.1所示。</w:t>
      </w:r>
    </w:p>
    <w:p w14:paraId="2DEE46A3">
      <w:pPr>
        <w:pStyle w:val="78"/>
        <w:spacing w:before="120" w:after="120"/>
      </w:pPr>
      <w:r>
        <w:t>技术合规自检表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86"/>
        <w:gridCol w:w="4963"/>
        <w:gridCol w:w="3125"/>
      </w:tblGrid>
      <w:tr w14:paraId="229F7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86" w:type="dxa"/>
            <w:tcBorders>
              <w:top w:val="single" w:color="auto" w:sz="8" w:space="0"/>
              <w:bottom w:val="single" w:color="auto" w:sz="8" w:space="0"/>
            </w:tcBorders>
            <w:shd w:val="clear" w:color="auto" w:fill="auto"/>
          </w:tcPr>
          <w:p w14:paraId="735C01E6">
            <w:pPr>
              <w:pStyle w:val="179"/>
            </w:pPr>
            <w:r>
              <w:rPr>
                <w:rFonts w:hint="eastAsia"/>
              </w:rPr>
              <w:t>序号</w:t>
            </w:r>
          </w:p>
        </w:tc>
        <w:tc>
          <w:tcPr>
            <w:tcW w:w="4963" w:type="dxa"/>
            <w:tcBorders>
              <w:top w:val="single" w:color="auto" w:sz="8" w:space="0"/>
              <w:bottom w:val="single" w:color="auto" w:sz="8" w:space="0"/>
            </w:tcBorders>
            <w:shd w:val="clear" w:color="auto" w:fill="auto"/>
          </w:tcPr>
          <w:p w14:paraId="6438024C">
            <w:pPr>
              <w:pStyle w:val="179"/>
            </w:pPr>
            <w:r>
              <w:rPr>
                <w:rFonts w:hint="eastAsia"/>
              </w:rPr>
              <w:t>检查项</w:t>
            </w:r>
          </w:p>
        </w:tc>
        <w:tc>
          <w:tcPr>
            <w:tcW w:w="3125" w:type="dxa"/>
            <w:tcBorders>
              <w:top w:val="single" w:color="auto" w:sz="8" w:space="0"/>
              <w:bottom w:val="single" w:color="auto" w:sz="8" w:space="0"/>
            </w:tcBorders>
            <w:shd w:val="clear" w:color="auto" w:fill="auto"/>
          </w:tcPr>
          <w:p w14:paraId="0FFEAE67">
            <w:pPr>
              <w:pStyle w:val="179"/>
            </w:pPr>
            <w:r>
              <w:rPr>
                <w:rFonts w:hint="eastAsia"/>
              </w:rPr>
              <w:t>是否符合</w:t>
            </w:r>
          </w:p>
        </w:tc>
      </w:tr>
      <w:tr w14:paraId="472352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tcBorders>
              <w:top w:val="single" w:color="auto" w:sz="8" w:space="0"/>
            </w:tcBorders>
            <w:shd w:val="clear" w:color="auto" w:fill="auto"/>
          </w:tcPr>
          <w:p w14:paraId="0F2F0589">
            <w:pPr>
              <w:pStyle w:val="179"/>
            </w:pPr>
            <w:r>
              <w:rPr>
                <w:rFonts w:hint="eastAsia"/>
              </w:rPr>
              <w:t>1</w:t>
            </w:r>
          </w:p>
        </w:tc>
        <w:tc>
          <w:tcPr>
            <w:tcW w:w="4963" w:type="dxa"/>
            <w:tcBorders>
              <w:top w:val="single" w:color="auto" w:sz="8" w:space="0"/>
            </w:tcBorders>
            <w:shd w:val="clear" w:color="auto" w:fill="auto"/>
          </w:tcPr>
          <w:p w14:paraId="193F71C2">
            <w:pPr>
              <w:pStyle w:val="179"/>
            </w:pPr>
            <w:r>
              <w:rPr>
                <w:rFonts w:hint="eastAsia"/>
              </w:rPr>
              <w:t>是否已审查并遵守目标网站的《服务条款》和robots.txt协议？</w:t>
            </w:r>
          </w:p>
        </w:tc>
        <w:tc>
          <w:tcPr>
            <w:tcW w:w="3125" w:type="dxa"/>
            <w:tcBorders>
              <w:top w:val="single" w:color="auto" w:sz="8" w:space="0"/>
            </w:tcBorders>
            <w:shd w:val="clear" w:color="auto" w:fill="auto"/>
          </w:tcPr>
          <w:p w14:paraId="5E23BC92">
            <w:pPr>
              <w:pStyle w:val="179"/>
            </w:pPr>
            <w:r>
              <w:rPr>
                <w:rFonts w:hint="eastAsia"/>
              </w:rPr>
              <w:t>□</w:t>
            </w:r>
          </w:p>
        </w:tc>
      </w:tr>
      <w:tr w14:paraId="333BA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6BD03D8C">
            <w:pPr>
              <w:pStyle w:val="179"/>
            </w:pPr>
            <w:r>
              <w:rPr>
                <w:rFonts w:hint="eastAsia"/>
              </w:rPr>
              <w:t>2</w:t>
            </w:r>
          </w:p>
        </w:tc>
        <w:tc>
          <w:tcPr>
            <w:tcW w:w="4963" w:type="dxa"/>
            <w:shd w:val="clear" w:color="auto" w:fill="auto"/>
          </w:tcPr>
          <w:p w14:paraId="57B2933F">
            <w:pPr>
              <w:pStyle w:val="179"/>
            </w:pPr>
            <w:r>
              <w:rPr>
                <w:rFonts w:hint="eastAsia"/>
              </w:rPr>
              <w:t>收集的数据是否明确不包含个人信息和重要数据？</w:t>
            </w:r>
          </w:p>
        </w:tc>
        <w:tc>
          <w:tcPr>
            <w:tcW w:w="3125" w:type="dxa"/>
            <w:shd w:val="clear" w:color="auto" w:fill="auto"/>
          </w:tcPr>
          <w:p w14:paraId="1F5BC657">
            <w:pPr>
              <w:pStyle w:val="179"/>
            </w:pPr>
            <w:r>
              <w:rPr>
                <w:rFonts w:hint="eastAsia"/>
              </w:rPr>
              <w:t>□</w:t>
            </w:r>
          </w:p>
        </w:tc>
      </w:tr>
      <w:tr w14:paraId="59C8AD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3A1E1555">
            <w:pPr>
              <w:pStyle w:val="179"/>
            </w:pPr>
            <w:r>
              <w:rPr>
                <w:rFonts w:hint="eastAsia"/>
              </w:rPr>
              <w:t>3</w:t>
            </w:r>
          </w:p>
        </w:tc>
        <w:tc>
          <w:tcPr>
            <w:tcW w:w="4963" w:type="dxa"/>
            <w:shd w:val="clear" w:color="auto" w:fill="auto"/>
          </w:tcPr>
          <w:p w14:paraId="4360C76E">
            <w:pPr>
              <w:pStyle w:val="179"/>
            </w:pPr>
            <w:r>
              <w:rPr>
                <w:rFonts w:hint="eastAsia"/>
              </w:rPr>
              <w:t>是否设置了真实、含联系方式的User-Agent？</w:t>
            </w:r>
          </w:p>
        </w:tc>
        <w:tc>
          <w:tcPr>
            <w:tcW w:w="3125" w:type="dxa"/>
            <w:shd w:val="clear" w:color="auto" w:fill="auto"/>
          </w:tcPr>
          <w:p w14:paraId="66040B18">
            <w:pPr>
              <w:pStyle w:val="179"/>
            </w:pPr>
            <w:r>
              <w:rPr>
                <w:rFonts w:hint="eastAsia"/>
              </w:rPr>
              <w:t>□</w:t>
            </w:r>
          </w:p>
        </w:tc>
      </w:tr>
      <w:tr w14:paraId="6AF133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3EF1B1E5">
            <w:pPr>
              <w:pStyle w:val="179"/>
            </w:pPr>
            <w:r>
              <w:rPr>
                <w:rFonts w:hint="eastAsia"/>
              </w:rPr>
              <w:t>4</w:t>
            </w:r>
          </w:p>
        </w:tc>
        <w:tc>
          <w:tcPr>
            <w:tcW w:w="4963" w:type="dxa"/>
            <w:shd w:val="clear" w:color="auto" w:fill="auto"/>
          </w:tcPr>
          <w:p w14:paraId="5454D091">
            <w:pPr>
              <w:pStyle w:val="179"/>
            </w:pPr>
            <w:r>
              <w:rPr>
                <w:rFonts w:hint="eastAsia"/>
              </w:rPr>
              <w:t>是否已配置合理、节制的请求频率和并发控制？</w:t>
            </w:r>
          </w:p>
        </w:tc>
        <w:tc>
          <w:tcPr>
            <w:tcW w:w="3125" w:type="dxa"/>
            <w:shd w:val="clear" w:color="auto" w:fill="auto"/>
          </w:tcPr>
          <w:p w14:paraId="6CE821A8">
            <w:pPr>
              <w:pStyle w:val="179"/>
            </w:pPr>
            <w:r>
              <w:rPr>
                <w:rFonts w:hint="eastAsia"/>
              </w:rPr>
              <w:t>□</w:t>
            </w:r>
          </w:p>
        </w:tc>
      </w:tr>
      <w:tr w14:paraId="2594C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29DB48C9">
            <w:pPr>
              <w:pStyle w:val="179"/>
            </w:pPr>
            <w:r>
              <w:rPr>
                <w:rFonts w:hint="eastAsia"/>
              </w:rPr>
              <w:t>5</w:t>
            </w:r>
          </w:p>
        </w:tc>
        <w:tc>
          <w:tcPr>
            <w:tcW w:w="4963" w:type="dxa"/>
            <w:shd w:val="clear" w:color="auto" w:fill="auto"/>
          </w:tcPr>
          <w:p w14:paraId="42424FC9">
            <w:pPr>
              <w:pStyle w:val="179"/>
            </w:pPr>
            <w:r>
              <w:rPr>
                <w:rFonts w:hint="eastAsia"/>
              </w:rPr>
              <w:t>是否建立了错误处理机制（特别是对429/5xx状态码）？</w:t>
            </w:r>
          </w:p>
        </w:tc>
        <w:tc>
          <w:tcPr>
            <w:tcW w:w="3125" w:type="dxa"/>
            <w:shd w:val="clear" w:color="auto" w:fill="auto"/>
          </w:tcPr>
          <w:p w14:paraId="5AEC5F4F">
            <w:pPr>
              <w:pStyle w:val="179"/>
            </w:pPr>
            <w:r>
              <w:rPr>
                <w:rFonts w:hint="eastAsia"/>
              </w:rPr>
              <w:t>□</w:t>
            </w:r>
          </w:p>
        </w:tc>
      </w:tr>
      <w:tr w14:paraId="25DF2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62038EBD">
            <w:pPr>
              <w:pStyle w:val="179"/>
            </w:pPr>
            <w:r>
              <w:rPr>
                <w:rFonts w:hint="eastAsia"/>
              </w:rPr>
              <w:t>6</w:t>
            </w:r>
          </w:p>
        </w:tc>
        <w:tc>
          <w:tcPr>
            <w:tcW w:w="4963" w:type="dxa"/>
            <w:shd w:val="clear" w:color="auto" w:fill="auto"/>
          </w:tcPr>
          <w:p w14:paraId="11AFFBC3">
            <w:pPr>
              <w:pStyle w:val="179"/>
            </w:pPr>
            <w:r>
              <w:rPr>
                <w:rFonts w:hint="eastAsia"/>
              </w:rPr>
              <w:t>数据存储方案是否具备安全防护措施（加密、访问控制）？</w:t>
            </w:r>
          </w:p>
        </w:tc>
        <w:tc>
          <w:tcPr>
            <w:tcW w:w="3125" w:type="dxa"/>
            <w:shd w:val="clear" w:color="auto" w:fill="auto"/>
          </w:tcPr>
          <w:p w14:paraId="364D582C">
            <w:pPr>
              <w:pStyle w:val="179"/>
            </w:pPr>
            <w:r>
              <w:rPr>
                <w:rFonts w:hint="eastAsia"/>
              </w:rPr>
              <w:t>□</w:t>
            </w:r>
          </w:p>
        </w:tc>
      </w:tr>
      <w:tr w14:paraId="07B78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6974CB72">
            <w:pPr>
              <w:pStyle w:val="179"/>
            </w:pPr>
            <w:r>
              <w:rPr>
                <w:rFonts w:hint="eastAsia"/>
              </w:rPr>
              <w:t>7</w:t>
            </w:r>
          </w:p>
        </w:tc>
        <w:tc>
          <w:tcPr>
            <w:tcW w:w="4963" w:type="dxa"/>
            <w:shd w:val="clear" w:color="auto" w:fill="auto"/>
          </w:tcPr>
          <w:p w14:paraId="7567CDED">
            <w:pPr>
              <w:pStyle w:val="179"/>
            </w:pPr>
            <w:r>
              <w:rPr>
                <w:rFonts w:hint="eastAsia"/>
              </w:rPr>
              <w:t>是否建立了数据收集活动日志并满足保存期限？</w:t>
            </w:r>
          </w:p>
        </w:tc>
        <w:tc>
          <w:tcPr>
            <w:tcW w:w="3125" w:type="dxa"/>
            <w:shd w:val="clear" w:color="auto" w:fill="auto"/>
          </w:tcPr>
          <w:p w14:paraId="12AE45BF">
            <w:pPr>
              <w:pStyle w:val="179"/>
            </w:pPr>
            <w:r>
              <w:rPr>
                <w:rFonts w:hint="eastAsia"/>
              </w:rPr>
              <w:t>□</w:t>
            </w:r>
          </w:p>
        </w:tc>
      </w:tr>
      <w:tr w14:paraId="50FCB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tcPr>
          <w:p w14:paraId="006D6EF2">
            <w:pPr>
              <w:pStyle w:val="179"/>
            </w:pPr>
            <w:r>
              <w:rPr>
                <w:rFonts w:hint="eastAsia"/>
              </w:rPr>
              <w:t>8</w:t>
            </w:r>
          </w:p>
        </w:tc>
        <w:tc>
          <w:tcPr>
            <w:tcW w:w="4963" w:type="dxa"/>
            <w:shd w:val="clear" w:color="auto" w:fill="auto"/>
          </w:tcPr>
          <w:p w14:paraId="0148AEE0">
            <w:pPr>
              <w:pStyle w:val="179"/>
            </w:pPr>
            <w:r>
              <w:rPr>
                <w:rFonts w:hint="eastAsia"/>
              </w:rPr>
              <w:t>是否明确了数据收集活动的负责人和应急联系人？</w:t>
            </w:r>
          </w:p>
        </w:tc>
        <w:tc>
          <w:tcPr>
            <w:tcW w:w="3125" w:type="dxa"/>
            <w:shd w:val="clear" w:color="auto" w:fill="auto"/>
          </w:tcPr>
          <w:p w14:paraId="6E73C774">
            <w:pPr>
              <w:pStyle w:val="179"/>
            </w:pPr>
            <w:r>
              <w:rPr>
                <w:rFonts w:hint="eastAsia"/>
              </w:rPr>
              <w:t>□</w:t>
            </w:r>
          </w:p>
        </w:tc>
      </w:tr>
    </w:tbl>
    <w:p w14:paraId="0B1D268C">
      <w:pPr>
        <w:pStyle w:val="57"/>
        <w:ind w:firstLine="420"/>
      </w:pPr>
    </w:p>
    <w:p w14:paraId="39B3C22B">
      <w:pPr>
        <w:pStyle w:val="57"/>
        <w:ind w:firstLine="420"/>
      </w:pPr>
    </w:p>
    <w:p w14:paraId="47A4DAE3">
      <w:pPr>
        <w:pStyle w:val="57"/>
        <w:ind w:firstLine="420"/>
      </w:pPr>
    </w:p>
    <w:p w14:paraId="72E1CD91">
      <w:pPr>
        <w:pStyle w:val="57"/>
        <w:ind w:firstLine="420"/>
      </w:pPr>
    </w:p>
    <w:p w14:paraId="38A0A3CF">
      <w:pPr>
        <w:pStyle w:val="57"/>
        <w:ind w:firstLine="420"/>
      </w:pPr>
    </w:p>
    <w:p w14:paraId="4937A5C8">
      <w:pPr>
        <w:pStyle w:val="57"/>
        <w:ind w:firstLine="420"/>
      </w:pPr>
    </w:p>
    <w:p w14:paraId="06EAE120">
      <w:pPr>
        <w:pStyle w:val="57"/>
        <w:ind w:firstLine="420"/>
      </w:pPr>
    </w:p>
    <w:p w14:paraId="2A3B6F5F">
      <w:pPr>
        <w:pStyle w:val="57"/>
        <w:ind w:firstLine="420"/>
      </w:pPr>
    </w:p>
    <w:p w14:paraId="09BBA3AB">
      <w:pPr>
        <w:pStyle w:val="57"/>
        <w:ind w:firstLine="420"/>
      </w:pPr>
    </w:p>
    <w:p w14:paraId="61092DB3">
      <w:pPr>
        <w:pStyle w:val="57"/>
        <w:ind w:firstLine="420"/>
      </w:pPr>
    </w:p>
    <w:p w14:paraId="20A525F1">
      <w:pPr>
        <w:pStyle w:val="57"/>
        <w:ind w:firstLine="420"/>
      </w:pPr>
    </w:p>
    <w:p w14:paraId="43EF63CB">
      <w:pPr>
        <w:pStyle w:val="57"/>
        <w:ind w:firstLine="420"/>
      </w:pPr>
    </w:p>
    <w:p w14:paraId="61BB060E">
      <w:pPr>
        <w:pStyle w:val="57"/>
        <w:ind w:firstLine="420"/>
      </w:pPr>
    </w:p>
    <w:p w14:paraId="38349C40">
      <w:pPr>
        <w:pStyle w:val="57"/>
        <w:ind w:firstLine="420"/>
      </w:pPr>
    </w:p>
    <w:p w14:paraId="319DB996">
      <w:pPr>
        <w:pStyle w:val="57"/>
        <w:ind w:firstLine="420"/>
      </w:pPr>
    </w:p>
    <w:p w14:paraId="73C789C7">
      <w:pPr>
        <w:pStyle w:val="57"/>
        <w:ind w:firstLine="420"/>
      </w:pPr>
    </w:p>
    <w:p w14:paraId="058A5694">
      <w:pPr>
        <w:pStyle w:val="57"/>
        <w:ind w:firstLine="420"/>
      </w:pPr>
    </w:p>
    <w:p w14:paraId="7BE49B71">
      <w:pPr>
        <w:pStyle w:val="57"/>
        <w:ind w:firstLine="420"/>
      </w:pPr>
    </w:p>
    <w:p w14:paraId="70DD20A3">
      <w:pPr>
        <w:pStyle w:val="57"/>
        <w:ind w:firstLine="420"/>
      </w:pPr>
    </w:p>
    <w:p w14:paraId="6A0872A7">
      <w:pPr>
        <w:pStyle w:val="57"/>
        <w:ind w:firstLine="420"/>
      </w:pPr>
    </w:p>
    <w:p w14:paraId="0AC0F587">
      <w:pPr>
        <w:pStyle w:val="57"/>
        <w:ind w:firstLine="420"/>
      </w:pPr>
    </w:p>
    <w:p w14:paraId="665E2BAE">
      <w:pPr>
        <w:pStyle w:val="57"/>
        <w:ind w:firstLine="420"/>
      </w:pPr>
    </w:p>
    <w:p w14:paraId="2EDB22EF">
      <w:pPr>
        <w:pStyle w:val="57"/>
        <w:ind w:firstLine="420"/>
      </w:pPr>
    </w:p>
    <w:p w14:paraId="2C6334CD">
      <w:pPr>
        <w:pStyle w:val="57"/>
        <w:ind w:firstLine="420"/>
      </w:pPr>
    </w:p>
    <w:p w14:paraId="295D7FCB">
      <w:pPr>
        <w:pStyle w:val="57"/>
        <w:ind w:firstLine="420"/>
      </w:pPr>
    </w:p>
    <w:p w14:paraId="4DE17335">
      <w:pPr>
        <w:pStyle w:val="57"/>
        <w:ind w:firstLine="420"/>
      </w:pPr>
    </w:p>
    <w:p w14:paraId="03CE0AF9">
      <w:pPr>
        <w:pStyle w:val="57"/>
        <w:ind w:firstLine="420"/>
      </w:pPr>
    </w:p>
    <w:p w14:paraId="2AB9FE91">
      <w:pPr>
        <w:pStyle w:val="57"/>
        <w:ind w:firstLine="420"/>
      </w:pPr>
    </w:p>
    <w:p w14:paraId="09D7D85D">
      <w:pPr>
        <w:pStyle w:val="57"/>
        <w:ind w:firstLine="420"/>
      </w:pPr>
    </w:p>
    <w:p w14:paraId="262079D8">
      <w:pPr>
        <w:pStyle w:val="57"/>
        <w:ind w:firstLine="420"/>
      </w:pPr>
    </w:p>
    <w:p w14:paraId="67099C6D">
      <w:pPr>
        <w:pStyle w:val="57"/>
        <w:ind w:firstLine="420"/>
      </w:pPr>
    </w:p>
    <w:p w14:paraId="126E2852">
      <w:pPr>
        <w:pStyle w:val="57"/>
        <w:ind w:firstLine="420"/>
      </w:pPr>
    </w:p>
    <w:p w14:paraId="1E0E63EC">
      <w:pPr>
        <w:pStyle w:val="57"/>
        <w:ind w:firstLine="420"/>
      </w:pPr>
    </w:p>
    <w:bookmarkEnd w:id="106"/>
    <w:p w14:paraId="0CCBFB16">
      <w:pPr>
        <w:pStyle w:val="64"/>
        <w:spacing w:before="96" w:after="120"/>
      </w:pPr>
      <w:bookmarkStart w:id="126" w:name="_Toc177998304"/>
      <w:bookmarkStart w:id="127" w:name="_Toc209174559"/>
      <w:bookmarkStart w:id="128" w:name="_Toc211005116"/>
      <w:bookmarkStart w:id="129" w:name="_Toc211088696"/>
      <w:bookmarkStart w:id="130" w:name="BookMark6"/>
      <w:r>
        <w:rPr>
          <w:rFonts w:hint="eastAsia"/>
          <w:spacing w:val="105"/>
        </w:rPr>
        <w:t>参考文</w:t>
      </w:r>
      <w:r>
        <w:rPr>
          <w:rFonts w:hint="eastAsia"/>
        </w:rPr>
        <w:t>献</w:t>
      </w:r>
      <w:bookmarkEnd w:id="126"/>
      <w:bookmarkEnd w:id="127"/>
      <w:bookmarkEnd w:id="128"/>
      <w:bookmarkEnd w:id="129"/>
    </w:p>
    <w:p w14:paraId="656E9468">
      <w:pPr>
        <w:pStyle w:val="57"/>
        <w:ind w:firstLine="420"/>
      </w:pPr>
      <w:r>
        <w:rPr>
          <w:rFonts w:hint="eastAsia"/>
        </w:rPr>
        <w:t>[1] GB/T 35273  信息安全技术 个人信息安全规范</w:t>
      </w:r>
    </w:p>
    <w:p w14:paraId="3E3C0034">
      <w:pPr>
        <w:pStyle w:val="57"/>
        <w:ind w:firstLine="420"/>
      </w:pPr>
      <w:r>
        <w:rPr>
          <w:rFonts w:hint="eastAsia"/>
        </w:rPr>
        <w:t>[2] 中华人民共和国个人信息保护法（中华人民共和国主席令第91号）</w:t>
      </w:r>
    </w:p>
    <w:p w14:paraId="78955E56">
      <w:pPr>
        <w:pStyle w:val="57"/>
        <w:ind w:firstLine="420"/>
      </w:pPr>
      <w:r>
        <w:rPr>
          <w:rFonts w:hint="eastAsia"/>
        </w:rPr>
        <w:t>[3]</w:t>
      </w:r>
      <w:r>
        <w:t xml:space="preserve"> </w:t>
      </w:r>
      <w:r>
        <w:rPr>
          <w:rFonts w:hint="eastAsia"/>
        </w:rPr>
        <w:t>中华人民共和国数据安全法（中华人民共和国主席令第84号）</w:t>
      </w:r>
    </w:p>
    <w:bookmarkEnd w:id="130"/>
    <w:p w14:paraId="72E7C7E1">
      <w:pPr>
        <w:pStyle w:val="166"/>
        <w:numPr>
          <w:ilvl w:val="0"/>
          <w:numId w:val="0"/>
        </w:numPr>
        <w:jc w:val="center"/>
      </w:pPr>
      <w:bookmarkStart w:id="131"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stretch>
                      <a:fillRect/>
                    </a:stretch>
                  </pic:blipFill>
                  <pic:spPr>
                    <a:xfrm>
                      <a:off x="0" y="0"/>
                      <a:ext cx="1485900" cy="317500"/>
                    </a:xfrm>
                    <a:prstGeom prst="rect">
                      <a:avLst/>
                    </a:prstGeom>
                  </pic:spPr>
                </pic:pic>
              </a:graphicData>
            </a:graphic>
          </wp:inline>
        </w:drawing>
      </w:r>
      <w:bookmarkEnd w:id="131"/>
    </w:p>
    <w:sectPr>
      <w:pgSz w:w="11906" w:h="16838"/>
      <w:pgMar w:top="2410" w:right="1134" w:bottom="1134" w:left="1134" w:header="1418" w:footer="1134" w:gutter="284"/>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1858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42D8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07F3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9FE3">
    <w:pPr>
      <w:pStyle w:val="53"/>
    </w:pPr>
    <w:r>
      <w:fldChar w:fldCharType="begin"/>
    </w:r>
    <w:r>
      <w:instrText xml:space="preserve">PAGE   \* MERGEFORMAT</w:instrText>
    </w:r>
    <w:r>
      <w:fldChar w:fldCharType="separate"/>
    </w:r>
    <w:r>
      <w:rPr>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7D350">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2881E">
    <w:pPr>
      <w:pStyle w:val="53"/>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E8BC1">
    <w:pPr>
      <w:pStyle w:val="52"/>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2CC50">
    <w:pPr>
      <w:pStyle w:val="53"/>
    </w:pPr>
    <w:r>
      <w:fldChar w:fldCharType="begin"/>
    </w:r>
    <w:r>
      <w:instrText xml:space="preserve">PAGE   \* MERGEFORMAT</w:instrText>
    </w:r>
    <w:r>
      <w:fldChar w:fldCharType="separate"/>
    </w:r>
    <w:r>
      <w:rPr>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743D0">
    <w:pPr>
      <w:pStyle w:val="52"/>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E953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67B2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3980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509EE">
    <w:pPr>
      <w:pStyle w:val="62"/>
    </w:pPr>
    <w:r>
      <w:fldChar w:fldCharType="begin"/>
    </w:r>
    <w:r>
      <w:instrText xml:space="preserve"> STYLEREF  标准文件_文件编号  \* MERGEFORMAT </w:instrText>
    </w:r>
    <w:r>
      <w:fldChar w:fldCharType="separate"/>
    </w:r>
    <w:r>
      <w:t>T/DLAS 19—2025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1D5D8">
    <w:pPr>
      <w:pStyle w:val="63"/>
    </w:pPr>
    <w:r>
      <w:fldChar w:fldCharType="begin"/>
    </w:r>
    <w:r>
      <w:instrText xml:space="preserve"> STYLEREF  标准文件_文件编号 \* MERGEFORMAT </w:instrText>
    </w:r>
    <w:r>
      <w:fldChar w:fldCharType="separate"/>
    </w:r>
    <w:r>
      <w:t>T/DLAS 19—2025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ED7F0">
    <w:pPr>
      <w:pStyle w:val="62"/>
    </w:pPr>
    <w:r>
      <w:fldChar w:fldCharType="begin"/>
    </w:r>
    <w:r>
      <w:instrText xml:space="preserve"> STYLEREF  标准文件_文件编号  \* MERGEFORMAT </w:instrText>
    </w:r>
    <w:r>
      <w:fldChar w:fldCharType="separate"/>
    </w:r>
    <w:r>
      <w:t>T/DLAS 19—2025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9CE18">
    <w:pPr>
      <w:pStyle w:val="63"/>
    </w:pPr>
    <w:r>
      <w:fldChar w:fldCharType="begin"/>
    </w:r>
    <w:r>
      <w:instrText xml:space="preserve"> STYLEREF  标准文件_文件编号 \* MERGEFORMAT </w:instrText>
    </w:r>
    <w:r>
      <w:fldChar w:fldCharType="separate"/>
    </w:r>
    <w:r>
      <w:t>T/DLAS 19—2025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B36E3">
    <w:pPr>
      <w:pStyle w:val="62"/>
    </w:pPr>
    <w:r>
      <w:fldChar w:fldCharType="begin"/>
    </w:r>
    <w:r>
      <w:instrText xml:space="preserve"> STYLEREF  标准文件_文件编号  \* MERGEFORMAT </w:instrText>
    </w:r>
    <w:r>
      <w:fldChar w:fldCharType="separate"/>
    </w:r>
    <w:r>
      <w:t>T/DLAS 19—2025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D7E93">
    <w:pPr>
      <w:pStyle w:val="63"/>
    </w:pPr>
    <w:r>
      <w:fldChar w:fldCharType="begin"/>
    </w:r>
    <w:r>
      <w:instrText xml:space="preserve"> STYLEREF  标准文件_文件编号 \* MERGEFORMAT </w:instrText>
    </w:r>
    <w:r>
      <w:fldChar w:fldCharType="separate"/>
    </w:r>
    <w:r>
      <w:t>T/DLAS 19—2025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color w:val="auto"/>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lZmYyZmQ0OWI2NjVhMmIwMTU4NWE4MGIxMzg3ZmMifQ=="/>
  </w:docVars>
  <w:rsids>
    <w:rsidRoot w:val="001009CD"/>
    <w:rsid w:val="0000010E"/>
    <w:rsid w:val="0000040A"/>
    <w:rsid w:val="00000A94"/>
    <w:rsid w:val="000011F2"/>
    <w:rsid w:val="00001972"/>
    <w:rsid w:val="00001A24"/>
    <w:rsid w:val="00001D9A"/>
    <w:rsid w:val="000022FC"/>
    <w:rsid w:val="00002DCC"/>
    <w:rsid w:val="00004193"/>
    <w:rsid w:val="00007B3A"/>
    <w:rsid w:val="000107E0"/>
    <w:rsid w:val="00010E44"/>
    <w:rsid w:val="00011FDE"/>
    <w:rsid w:val="00012359"/>
    <w:rsid w:val="00012FFD"/>
    <w:rsid w:val="00014162"/>
    <w:rsid w:val="00014340"/>
    <w:rsid w:val="00014D76"/>
    <w:rsid w:val="00016A9C"/>
    <w:rsid w:val="00020140"/>
    <w:rsid w:val="00022103"/>
    <w:rsid w:val="00022184"/>
    <w:rsid w:val="00022762"/>
    <w:rsid w:val="0002346C"/>
    <w:rsid w:val="000238E0"/>
    <w:rsid w:val="000249DB"/>
    <w:rsid w:val="00025585"/>
    <w:rsid w:val="0002595E"/>
    <w:rsid w:val="000267DC"/>
    <w:rsid w:val="000303C3"/>
    <w:rsid w:val="00033184"/>
    <w:rsid w:val="000331D3"/>
    <w:rsid w:val="00033535"/>
    <w:rsid w:val="000346A5"/>
    <w:rsid w:val="000359C3"/>
    <w:rsid w:val="00035A7D"/>
    <w:rsid w:val="000365ED"/>
    <w:rsid w:val="00036EB1"/>
    <w:rsid w:val="00037436"/>
    <w:rsid w:val="00037643"/>
    <w:rsid w:val="0004249A"/>
    <w:rsid w:val="00043282"/>
    <w:rsid w:val="00044286"/>
    <w:rsid w:val="000465F2"/>
    <w:rsid w:val="0004758E"/>
    <w:rsid w:val="00047F28"/>
    <w:rsid w:val="00050162"/>
    <w:rsid w:val="000503AA"/>
    <w:rsid w:val="000506A1"/>
    <w:rsid w:val="000515DD"/>
    <w:rsid w:val="00052215"/>
    <w:rsid w:val="0005265A"/>
    <w:rsid w:val="000539DD"/>
    <w:rsid w:val="00053BD3"/>
    <w:rsid w:val="000556ED"/>
    <w:rsid w:val="00055FE2"/>
    <w:rsid w:val="0005616F"/>
    <w:rsid w:val="000607AE"/>
    <w:rsid w:val="00060C2E"/>
    <w:rsid w:val="00061033"/>
    <w:rsid w:val="000619E9"/>
    <w:rsid w:val="000622D4"/>
    <w:rsid w:val="0006357D"/>
    <w:rsid w:val="0006487E"/>
    <w:rsid w:val="00064B00"/>
    <w:rsid w:val="000660E7"/>
    <w:rsid w:val="00066B21"/>
    <w:rsid w:val="000673AB"/>
    <w:rsid w:val="00067ADA"/>
    <w:rsid w:val="00067E6F"/>
    <w:rsid w:val="00067F1E"/>
    <w:rsid w:val="00070801"/>
    <w:rsid w:val="00071CC0"/>
    <w:rsid w:val="00071CFC"/>
    <w:rsid w:val="000720ED"/>
    <w:rsid w:val="00073A62"/>
    <w:rsid w:val="00073C8C"/>
    <w:rsid w:val="00073DB1"/>
    <w:rsid w:val="0007473F"/>
    <w:rsid w:val="0007562B"/>
    <w:rsid w:val="00075B36"/>
    <w:rsid w:val="00077B64"/>
    <w:rsid w:val="00080A1C"/>
    <w:rsid w:val="00081E2F"/>
    <w:rsid w:val="00082317"/>
    <w:rsid w:val="00083A26"/>
    <w:rsid w:val="00083D2C"/>
    <w:rsid w:val="00086637"/>
    <w:rsid w:val="00086AA1"/>
    <w:rsid w:val="00087A77"/>
    <w:rsid w:val="00090CA6"/>
    <w:rsid w:val="0009255A"/>
    <w:rsid w:val="00092B8A"/>
    <w:rsid w:val="00092FB0"/>
    <w:rsid w:val="000934C5"/>
    <w:rsid w:val="00093D25"/>
    <w:rsid w:val="00093DAB"/>
    <w:rsid w:val="00094D73"/>
    <w:rsid w:val="00096D63"/>
    <w:rsid w:val="000972D9"/>
    <w:rsid w:val="000A0B60"/>
    <w:rsid w:val="000A0EB8"/>
    <w:rsid w:val="000A19FC"/>
    <w:rsid w:val="000A296B"/>
    <w:rsid w:val="000A3A5E"/>
    <w:rsid w:val="000A3BED"/>
    <w:rsid w:val="000A4558"/>
    <w:rsid w:val="000A7311"/>
    <w:rsid w:val="000B060F"/>
    <w:rsid w:val="000B1592"/>
    <w:rsid w:val="000B1FF2"/>
    <w:rsid w:val="000B2515"/>
    <w:rsid w:val="000B30F6"/>
    <w:rsid w:val="000B3CDA"/>
    <w:rsid w:val="000B4480"/>
    <w:rsid w:val="000B4DC4"/>
    <w:rsid w:val="000B4EC6"/>
    <w:rsid w:val="000B649D"/>
    <w:rsid w:val="000B6A0B"/>
    <w:rsid w:val="000B77C1"/>
    <w:rsid w:val="000C0F6C"/>
    <w:rsid w:val="000C0FF6"/>
    <w:rsid w:val="000C1149"/>
    <w:rsid w:val="000C11DB"/>
    <w:rsid w:val="000C1492"/>
    <w:rsid w:val="000C22C8"/>
    <w:rsid w:val="000C2FBD"/>
    <w:rsid w:val="000C4B41"/>
    <w:rsid w:val="000C57D6"/>
    <w:rsid w:val="000C6362"/>
    <w:rsid w:val="000C7666"/>
    <w:rsid w:val="000C7C14"/>
    <w:rsid w:val="000D002A"/>
    <w:rsid w:val="000D0A9C"/>
    <w:rsid w:val="000D1795"/>
    <w:rsid w:val="000D329A"/>
    <w:rsid w:val="000D4A03"/>
    <w:rsid w:val="000D4B9C"/>
    <w:rsid w:val="000D4EB6"/>
    <w:rsid w:val="000D50E3"/>
    <w:rsid w:val="000D753B"/>
    <w:rsid w:val="000E2CEC"/>
    <w:rsid w:val="000E44EA"/>
    <w:rsid w:val="000E4C9E"/>
    <w:rsid w:val="000E5CD3"/>
    <w:rsid w:val="000E6911"/>
    <w:rsid w:val="000E6FD7"/>
    <w:rsid w:val="000F062B"/>
    <w:rsid w:val="000F06E1"/>
    <w:rsid w:val="000F0E3C"/>
    <w:rsid w:val="000F10C4"/>
    <w:rsid w:val="000F19D5"/>
    <w:rsid w:val="000F3E21"/>
    <w:rsid w:val="000F4050"/>
    <w:rsid w:val="000F4AEA"/>
    <w:rsid w:val="000F67E9"/>
    <w:rsid w:val="00100276"/>
    <w:rsid w:val="001009CD"/>
    <w:rsid w:val="00104926"/>
    <w:rsid w:val="00104AB9"/>
    <w:rsid w:val="0010526F"/>
    <w:rsid w:val="0010708D"/>
    <w:rsid w:val="00113B1E"/>
    <w:rsid w:val="00113BEE"/>
    <w:rsid w:val="00114E93"/>
    <w:rsid w:val="001164A5"/>
    <w:rsid w:val="0011711C"/>
    <w:rsid w:val="001220A9"/>
    <w:rsid w:val="00123E79"/>
    <w:rsid w:val="00124E4F"/>
    <w:rsid w:val="00125AD8"/>
    <w:rsid w:val="00125FC6"/>
    <w:rsid w:val="001260B7"/>
    <w:rsid w:val="001265CB"/>
    <w:rsid w:val="00131E90"/>
    <w:rsid w:val="001321C6"/>
    <w:rsid w:val="001325C4"/>
    <w:rsid w:val="00133010"/>
    <w:rsid w:val="001338EE"/>
    <w:rsid w:val="00133AAE"/>
    <w:rsid w:val="00134D7D"/>
    <w:rsid w:val="00135323"/>
    <w:rsid w:val="001356C4"/>
    <w:rsid w:val="00137565"/>
    <w:rsid w:val="00141114"/>
    <w:rsid w:val="00142189"/>
    <w:rsid w:val="00142969"/>
    <w:rsid w:val="001431D2"/>
    <w:rsid w:val="00143883"/>
    <w:rsid w:val="001446C2"/>
    <w:rsid w:val="0014567E"/>
    <w:rsid w:val="001457E7"/>
    <w:rsid w:val="00145D9D"/>
    <w:rsid w:val="00146366"/>
    <w:rsid w:val="00146388"/>
    <w:rsid w:val="001510A7"/>
    <w:rsid w:val="001529E5"/>
    <w:rsid w:val="00152C3F"/>
    <w:rsid w:val="00152FAA"/>
    <w:rsid w:val="00152FB3"/>
    <w:rsid w:val="00153C7E"/>
    <w:rsid w:val="00153E79"/>
    <w:rsid w:val="00154480"/>
    <w:rsid w:val="00156B25"/>
    <w:rsid w:val="00156E1A"/>
    <w:rsid w:val="00157894"/>
    <w:rsid w:val="00157B55"/>
    <w:rsid w:val="00161847"/>
    <w:rsid w:val="00163378"/>
    <w:rsid w:val="001642FA"/>
    <w:rsid w:val="001649EB"/>
    <w:rsid w:val="00164BAF"/>
    <w:rsid w:val="00164FA8"/>
    <w:rsid w:val="00165065"/>
    <w:rsid w:val="00165434"/>
    <w:rsid w:val="001655EF"/>
    <w:rsid w:val="0016580B"/>
    <w:rsid w:val="00165BE5"/>
    <w:rsid w:val="00165F49"/>
    <w:rsid w:val="00166B88"/>
    <w:rsid w:val="001674CF"/>
    <w:rsid w:val="0016770A"/>
    <w:rsid w:val="00167A44"/>
    <w:rsid w:val="00170319"/>
    <w:rsid w:val="00170804"/>
    <w:rsid w:val="001708E9"/>
    <w:rsid w:val="00171C7B"/>
    <w:rsid w:val="001733C9"/>
    <w:rsid w:val="0017340B"/>
    <w:rsid w:val="00173FB1"/>
    <w:rsid w:val="001750AD"/>
    <w:rsid w:val="00176DFD"/>
    <w:rsid w:val="001778ED"/>
    <w:rsid w:val="00177D65"/>
    <w:rsid w:val="00180648"/>
    <w:rsid w:val="00180710"/>
    <w:rsid w:val="00180B5F"/>
    <w:rsid w:val="00181FBA"/>
    <w:rsid w:val="001852C9"/>
    <w:rsid w:val="0018589B"/>
    <w:rsid w:val="00187A0B"/>
    <w:rsid w:val="00190087"/>
    <w:rsid w:val="001913C4"/>
    <w:rsid w:val="00193258"/>
    <w:rsid w:val="0019348F"/>
    <w:rsid w:val="00193A07"/>
    <w:rsid w:val="00194C95"/>
    <w:rsid w:val="00195C34"/>
    <w:rsid w:val="00196EF5"/>
    <w:rsid w:val="001A11B1"/>
    <w:rsid w:val="001A14BE"/>
    <w:rsid w:val="001A1A53"/>
    <w:rsid w:val="001A234A"/>
    <w:rsid w:val="001A4CF3"/>
    <w:rsid w:val="001A6696"/>
    <w:rsid w:val="001B06E8"/>
    <w:rsid w:val="001B2D10"/>
    <w:rsid w:val="001B5238"/>
    <w:rsid w:val="001B71D0"/>
    <w:rsid w:val="001B71EE"/>
    <w:rsid w:val="001C0386"/>
    <w:rsid w:val="001C04A8"/>
    <w:rsid w:val="001C2C03"/>
    <w:rsid w:val="001C42F7"/>
    <w:rsid w:val="001C49E5"/>
    <w:rsid w:val="001C680C"/>
    <w:rsid w:val="001C7263"/>
    <w:rsid w:val="001C7FEA"/>
    <w:rsid w:val="001D0093"/>
    <w:rsid w:val="001D0499"/>
    <w:rsid w:val="001D0BBE"/>
    <w:rsid w:val="001D0ED4"/>
    <w:rsid w:val="001D212F"/>
    <w:rsid w:val="001D29D7"/>
    <w:rsid w:val="001D2DE7"/>
    <w:rsid w:val="001D411C"/>
    <w:rsid w:val="001D56EB"/>
    <w:rsid w:val="001E1B6A"/>
    <w:rsid w:val="001E2484"/>
    <w:rsid w:val="001E3CC4"/>
    <w:rsid w:val="001E3D8A"/>
    <w:rsid w:val="001E4882"/>
    <w:rsid w:val="001E73AB"/>
    <w:rsid w:val="001F092D"/>
    <w:rsid w:val="001F0D65"/>
    <w:rsid w:val="001F143A"/>
    <w:rsid w:val="001F1500"/>
    <w:rsid w:val="001F1605"/>
    <w:rsid w:val="001F2508"/>
    <w:rsid w:val="001F2D2E"/>
    <w:rsid w:val="001F4816"/>
    <w:rsid w:val="001F63CB"/>
    <w:rsid w:val="001F67F1"/>
    <w:rsid w:val="001F69B4"/>
    <w:rsid w:val="001F6C15"/>
    <w:rsid w:val="001F77C7"/>
    <w:rsid w:val="0020007B"/>
    <w:rsid w:val="00200112"/>
    <w:rsid w:val="00200183"/>
    <w:rsid w:val="00200333"/>
    <w:rsid w:val="0020107D"/>
    <w:rsid w:val="00202543"/>
    <w:rsid w:val="00202AA4"/>
    <w:rsid w:val="002031F7"/>
    <w:rsid w:val="002040E6"/>
    <w:rsid w:val="00204842"/>
    <w:rsid w:val="0020527B"/>
    <w:rsid w:val="00205F2C"/>
    <w:rsid w:val="00210B15"/>
    <w:rsid w:val="00211E99"/>
    <w:rsid w:val="002142EA"/>
    <w:rsid w:val="0021474B"/>
    <w:rsid w:val="00214A51"/>
    <w:rsid w:val="00215ADD"/>
    <w:rsid w:val="002204BB"/>
    <w:rsid w:val="00221B79"/>
    <w:rsid w:val="00221C6B"/>
    <w:rsid w:val="00222170"/>
    <w:rsid w:val="0022354B"/>
    <w:rsid w:val="00223723"/>
    <w:rsid w:val="002253A1"/>
    <w:rsid w:val="00225CF8"/>
    <w:rsid w:val="0022757F"/>
    <w:rsid w:val="0022794E"/>
    <w:rsid w:val="00230D33"/>
    <w:rsid w:val="002324A5"/>
    <w:rsid w:val="00232F2F"/>
    <w:rsid w:val="00233A26"/>
    <w:rsid w:val="00233D64"/>
    <w:rsid w:val="0023482A"/>
    <w:rsid w:val="002359CB"/>
    <w:rsid w:val="0023696D"/>
    <w:rsid w:val="00237273"/>
    <w:rsid w:val="002373C1"/>
    <w:rsid w:val="00241827"/>
    <w:rsid w:val="002418F1"/>
    <w:rsid w:val="00243540"/>
    <w:rsid w:val="00243D97"/>
    <w:rsid w:val="0024497B"/>
    <w:rsid w:val="0024515B"/>
    <w:rsid w:val="002458A8"/>
    <w:rsid w:val="00246021"/>
    <w:rsid w:val="0024666E"/>
    <w:rsid w:val="00247F52"/>
    <w:rsid w:val="00250B25"/>
    <w:rsid w:val="00250BBE"/>
    <w:rsid w:val="002515C2"/>
    <w:rsid w:val="0025194F"/>
    <w:rsid w:val="00252F01"/>
    <w:rsid w:val="0025406E"/>
    <w:rsid w:val="00256D93"/>
    <w:rsid w:val="00257FC6"/>
    <w:rsid w:val="0026148A"/>
    <w:rsid w:val="00261F96"/>
    <w:rsid w:val="00262696"/>
    <w:rsid w:val="00263D25"/>
    <w:rsid w:val="002643C3"/>
    <w:rsid w:val="00264A0C"/>
    <w:rsid w:val="002661A0"/>
    <w:rsid w:val="00266EEB"/>
    <w:rsid w:val="00267361"/>
    <w:rsid w:val="00267EF4"/>
    <w:rsid w:val="0027008B"/>
    <w:rsid w:val="00270AB3"/>
    <w:rsid w:val="00270CB8"/>
    <w:rsid w:val="00272B08"/>
    <w:rsid w:val="002730DD"/>
    <w:rsid w:val="002739B8"/>
    <w:rsid w:val="002760F3"/>
    <w:rsid w:val="00277320"/>
    <w:rsid w:val="00281BB8"/>
    <w:rsid w:val="00281E9E"/>
    <w:rsid w:val="00282405"/>
    <w:rsid w:val="00285170"/>
    <w:rsid w:val="00285361"/>
    <w:rsid w:val="00285B79"/>
    <w:rsid w:val="00291E67"/>
    <w:rsid w:val="00292D60"/>
    <w:rsid w:val="002930B2"/>
    <w:rsid w:val="00293B30"/>
    <w:rsid w:val="00293E54"/>
    <w:rsid w:val="00294D34"/>
    <w:rsid w:val="00294E3B"/>
    <w:rsid w:val="00296193"/>
    <w:rsid w:val="00296C66"/>
    <w:rsid w:val="00296D72"/>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673"/>
    <w:rsid w:val="002B3D51"/>
    <w:rsid w:val="002B41AE"/>
    <w:rsid w:val="002B440B"/>
    <w:rsid w:val="002B4508"/>
    <w:rsid w:val="002B5779"/>
    <w:rsid w:val="002B577B"/>
    <w:rsid w:val="002B5D10"/>
    <w:rsid w:val="002B6825"/>
    <w:rsid w:val="002B7332"/>
    <w:rsid w:val="002B7F51"/>
    <w:rsid w:val="002C08F5"/>
    <w:rsid w:val="002C09E7"/>
    <w:rsid w:val="002C0EAF"/>
    <w:rsid w:val="002C1C22"/>
    <w:rsid w:val="002C1E06"/>
    <w:rsid w:val="002C3F07"/>
    <w:rsid w:val="002C5278"/>
    <w:rsid w:val="002C54D8"/>
    <w:rsid w:val="002C632C"/>
    <w:rsid w:val="002C7EBB"/>
    <w:rsid w:val="002D067F"/>
    <w:rsid w:val="002D06C1"/>
    <w:rsid w:val="002D140B"/>
    <w:rsid w:val="002D15ED"/>
    <w:rsid w:val="002D193A"/>
    <w:rsid w:val="002D1ED7"/>
    <w:rsid w:val="002D237A"/>
    <w:rsid w:val="002D42B5"/>
    <w:rsid w:val="002D4B5C"/>
    <w:rsid w:val="002D4B78"/>
    <w:rsid w:val="002D4F1A"/>
    <w:rsid w:val="002D5911"/>
    <w:rsid w:val="002D596B"/>
    <w:rsid w:val="002D5DCA"/>
    <w:rsid w:val="002D6249"/>
    <w:rsid w:val="002D6EC6"/>
    <w:rsid w:val="002D79AC"/>
    <w:rsid w:val="002E039D"/>
    <w:rsid w:val="002E0563"/>
    <w:rsid w:val="002E4780"/>
    <w:rsid w:val="002E4D5A"/>
    <w:rsid w:val="002E5B71"/>
    <w:rsid w:val="002E6326"/>
    <w:rsid w:val="002F0BE9"/>
    <w:rsid w:val="002F30E0"/>
    <w:rsid w:val="002F3532"/>
    <w:rsid w:val="002F35E4"/>
    <w:rsid w:val="002F3730"/>
    <w:rsid w:val="002F38E1"/>
    <w:rsid w:val="002F56B3"/>
    <w:rsid w:val="002F7AF6"/>
    <w:rsid w:val="00300E63"/>
    <w:rsid w:val="00302F5F"/>
    <w:rsid w:val="0030441D"/>
    <w:rsid w:val="00306063"/>
    <w:rsid w:val="0031015F"/>
    <w:rsid w:val="00310545"/>
    <w:rsid w:val="00313B85"/>
    <w:rsid w:val="003167C9"/>
    <w:rsid w:val="00316DE2"/>
    <w:rsid w:val="00317988"/>
    <w:rsid w:val="0032002A"/>
    <w:rsid w:val="00321446"/>
    <w:rsid w:val="00321B5C"/>
    <w:rsid w:val="003221B4"/>
    <w:rsid w:val="0032258D"/>
    <w:rsid w:val="00322E62"/>
    <w:rsid w:val="003231FE"/>
    <w:rsid w:val="0032462A"/>
    <w:rsid w:val="00324AC1"/>
    <w:rsid w:val="00324D13"/>
    <w:rsid w:val="00324EDD"/>
    <w:rsid w:val="003262E9"/>
    <w:rsid w:val="00326330"/>
    <w:rsid w:val="00326848"/>
    <w:rsid w:val="00326D4F"/>
    <w:rsid w:val="00327AA8"/>
    <w:rsid w:val="003331E4"/>
    <w:rsid w:val="003361B5"/>
    <w:rsid w:val="003365E1"/>
    <w:rsid w:val="00336C64"/>
    <w:rsid w:val="00337162"/>
    <w:rsid w:val="003409FA"/>
    <w:rsid w:val="00341308"/>
    <w:rsid w:val="0034194F"/>
    <w:rsid w:val="00342635"/>
    <w:rsid w:val="00342BA0"/>
    <w:rsid w:val="00343DED"/>
    <w:rsid w:val="00344605"/>
    <w:rsid w:val="003474AA"/>
    <w:rsid w:val="00350D1D"/>
    <w:rsid w:val="00352C83"/>
    <w:rsid w:val="00352D96"/>
    <w:rsid w:val="00352F1A"/>
    <w:rsid w:val="00353C72"/>
    <w:rsid w:val="00353F39"/>
    <w:rsid w:val="00356617"/>
    <w:rsid w:val="00357304"/>
    <w:rsid w:val="0035749C"/>
    <w:rsid w:val="0036005F"/>
    <w:rsid w:val="0036107C"/>
    <w:rsid w:val="003615D2"/>
    <w:rsid w:val="00361AE3"/>
    <w:rsid w:val="00362D22"/>
    <w:rsid w:val="00363ED9"/>
    <w:rsid w:val="0036429C"/>
    <w:rsid w:val="00364A53"/>
    <w:rsid w:val="003650DB"/>
    <w:rsid w:val="0036528E"/>
    <w:rsid w:val="003654CB"/>
    <w:rsid w:val="00365AA9"/>
    <w:rsid w:val="00365F86"/>
    <w:rsid w:val="00365F87"/>
    <w:rsid w:val="00366E89"/>
    <w:rsid w:val="003705F4"/>
    <w:rsid w:val="00370D58"/>
    <w:rsid w:val="00370EA3"/>
    <w:rsid w:val="00371316"/>
    <w:rsid w:val="003721F8"/>
    <w:rsid w:val="00372EE0"/>
    <w:rsid w:val="00373010"/>
    <w:rsid w:val="00373B0B"/>
    <w:rsid w:val="00376713"/>
    <w:rsid w:val="00381815"/>
    <w:rsid w:val="003819AF"/>
    <w:rsid w:val="003820E9"/>
    <w:rsid w:val="00382DE7"/>
    <w:rsid w:val="00383D8D"/>
    <w:rsid w:val="00384FFC"/>
    <w:rsid w:val="003872FC"/>
    <w:rsid w:val="00387ADC"/>
    <w:rsid w:val="00390020"/>
    <w:rsid w:val="003903D6"/>
    <w:rsid w:val="00390E7C"/>
    <w:rsid w:val="00390EE6"/>
    <w:rsid w:val="0039118F"/>
    <w:rsid w:val="003919FE"/>
    <w:rsid w:val="00392AD7"/>
    <w:rsid w:val="003938D9"/>
    <w:rsid w:val="00394376"/>
    <w:rsid w:val="003943FF"/>
    <w:rsid w:val="003944DE"/>
    <w:rsid w:val="0039469C"/>
    <w:rsid w:val="00394F3C"/>
    <w:rsid w:val="003972C5"/>
    <w:rsid w:val="003974EB"/>
    <w:rsid w:val="00397A2A"/>
    <w:rsid w:val="00397CC5"/>
    <w:rsid w:val="003A1582"/>
    <w:rsid w:val="003A1F61"/>
    <w:rsid w:val="003A2E8C"/>
    <w:rsid w:val="003A3D9C"/>
    <w:rsid w:val="003A3F05"/>
    <w:rsid w:val="003A4077"/>
    <w:rsid w:val="003A4AA7"/>
    <w:rsid w:val="003A6374"/>
    <w:rsid w:val="003A6E5D"/>
    <w:rsid w:val="003A7D00"/>
    <w:rsid w:val="003B09AD"/>
    <w:rsid w:val="003B1F18"/>
    <w:rsid w:val="003B29DF"/>
    <w:rsid w:val="003B517C"/>
    <w:rsid w:val="003B526E"/>
    <w:rsid w:val="003B5BF0"/>
    <w:rsid w:val="003B5C80"/>
    <w:rsid w:val="003B60BF"/>
    <w:rsid w:val="003B6BE3"/>
    <w:rsid w:val="003C010C"/>
    <w:rsid w:val="003C0A6C"/>
    <w:rsid w:val="003C14F8"/>
    <w:rsid w:val="003C4829"/>
    <w:rsid w:val="003C5564"/>
    <w:rsid w:val="003C5A43"/>
    <w:rsid w:val="003C7FB0"/>
    <w:rsid w:val="003D0519"/>
    <w:rsid w:val="003D0FF6"/>
    <w:rsid w:val="003D262C"/>
    <w:rsid w:val="003D2B26"/>
    <w:rsid w:val="003D3416"/>
    <w:rsid w:val="003D56C8"/>
    <w:rsid w:val="003D6D61"/>
    <w:rsid w:val="003E060C"/>
    <w:rsid w:val="003E091D"/>
    <w:rsid w:val="003E1C53"/>
    <w:rsid w:val="003E26DD"/>
    <w:rsid w:val="003E2A69"/>
    <w:rsid w:val="003E2D49"/>
    <w:rsid w:val="003E2FD4"/>
    <w:rsid w:val="003E3324"/>
    <w:rsid w:val="003E4002"/>
    <w:rsid w:val="003E49F6"/>
    <w:rsid w:val="003E584E"/>
    <w:rsid w:val="003E660F"/>
    <w:rsid w:val="003F037F"/>
    <w:rsid w:val="003F0841"/>
    <w:rsid w:val="003F21EE"/>
    <w:rsid w:val="003F23D3"/>
    <w:rsid w:val="003F3F08"/>
    <w:rsid w:val="003F49F1"/>
    <w:rsid w:val="003F4DCF"/>
    <w:rsid w:val="003F5C3B"/>
    <w:rsid w:val="003F6272"/>
    <w:rsid w:val="00400E72"/>
    <w:rsid w:val="00401400"/>
    <w:rsid w:val="00402D0F"/>
    <w:rsid w:val="00402E51"/>
    <w:rsid w:val="00404869"/>
    <w:rsid w:val="00405884"/>
    <w:rsid w:val="00406088"/>
    <w:rsid w:val="00407D39"/>
    <w:rsid w:val="00410B1F"/>
    <w:rsid w:val="00412390"/>
    <w:rsid w:val="00413143"/>
    <w:rsid w:val="0041477A"/>
    <w:rsid w:val="004167A3"/>
    <w:rsid w:val="0041747B"/>
    <w:rsid w:val="004176F9"/>
    <w:rsid w:val="00421468"/>
    <w:rsid w:val="004257E0"/>
    <w:rsid w:val="004264F0"/>
    <w:rsid w:val="00430B3E"/>
    <w:rsid w:val="00431C95"/>
    <w:rsid w:val="00432037"/>
    <w:rsid w:val="00432DAA"/>
    <w:rsid w:val="00434305"/>
    <w:rsid w:val="004348DE"/>
    <w:rsid w:val="00434B97"/>
    <w:rsid w:val="00435DF7"/>
    <w:rsid w:val="0044083F"/>
    <w:rsid w:val="00441873"/>
    <w:rsid w:val="00441AE7"/>
    <w:rsid w:val="00442C88"/>
    <w:rsid w:val="00443EA5"/>
    <w:rsid w:val="004441E5"/>
    <w:rsid w:val="00445574"/>
    <w:rsid w:val="00446306"/>
    <w:rsid w:val="004467FB"/>
    <w:rsid w:val="00447729"/>
    <w:rsid w:val="0045047F"/>
    <w:rsid w:val="00452D6B"/>
    <w:rsid w:val="00454484"/>
    <w:rsid w:val="0045517B"/>
    <w:rsid w:val="0045651D"/>
    <w:rsid w:val="00457A44"/>
    <w:rsid w:val="00457D1E"/>
    <w:rsid w:val="0046022B"/>
    <w:rsid w:val="00460ECC"/>
    <w:rsid w:val="00461890"/>
    <w:rsid w:val="00461E66"/>
    <w:rsid w:val="004632FF"/>
    <w:rsid w:val="0046338B"/>
    <w:rsid w:val="00463B77"/>
    <w:rsid w:val="00463C7B"/>
    <w:rsid w:val="00463D7D"/>
    <w:rsid w:val="004644A6"/>
    <w:rsid w:val="004659BD"/>
    <w:rsid w:val="00470775"/>
    <w:rsid w:val="00473B1B"/>
    <w:rsid w:val="004740CA"/>
    <w:rsid w:val="004746B1"/>
    <w:rsid w:val="004748C1"/>
    <w:rsid w:val="00474DBB"/>
    <w:rsid w:val="0047583F"/>
    <w:rsid w:val="00475DE8"/>
    <w:rsid w:val="00481C44"/>
    <w:rsid w:val="00484936"/>
    <w:rsid w:val="00484C61"/>
    <w:rsid w:val="00485C89"/>
    <w:rsid w:val="00486BE3"/>
    <w:rsid w:val="004905E4"/>
    <w:rsid w:val="00490A89"/>
    <w:rsid w:val="00490AB4"/>
    <w:rsid w:val="00490B21"/>
    <w:rsid w:val="00491629"/>
    <w:rsid w:val="00492F02"/>
    <w:rsid w:val="004939AE"/>
    <w:rsid w:val="00494B67"/>
    <w:rsid w:val="004A0808"/>
    <w:rsid w:val="004A0A8A"/>
    <w:rsid w:val="004A12DF"/>
    <w:rsid w:val="004A1BA8"/>
    <w:rsid w:val="004A4B57"/>
    <w:rsid w:val="004A63FA"/>
    <w:rsid w:val="004A6A3D"/>
    <w:rsid w:val="004A70F3"/>
    <w:rsid w:val="004B0057"/>
    <w:rsid w:val="004B0272"/>
    <w:rsid w:val="004B029B"/>
    <w:rsid w:val="004B1A62"/>
    <w:rsid w:val="004B2701"/>
    <w:rsid w:val="004B2E1B"/>
    <w:rsid w:val="004B3AA8"/>
    <w:rsid w:val="004B3E93"/>
    <w:rsid w:val="004C1042"/>
    <w:rsid w:val="004C1FBC"/>
    <w:rsid w:val="004C25A2"/>
    <w:rsid w:val="004C2FE9"/>
    <w:rsid w:val="004C3CCD"/>
    <w:rsid w:val="004C3F1D"/>
    <w:rsid w:val="004C458D"/>
    <w:rsid w:val="004C58DD"/>
    <w:rsid w:val="004C7556"/>
    <w:rsid w:val="004C7E8B"/>
    <w:rsid w:val="004C7E9D"/>
    <w:rsid w:val="004C7F67"/>
    <w:rsid w:val="004D076D"/>
    <w:rsid w:val="004D0EF1"/>
    <w:rsid w:val="004D2253"/>
    <w:rsid w:val="004D2407"/>
    <w:rsid w:val="004D2B67"/>
    <w:rsid w:val="004D4406"/>
    <w:rsid w:val="004D7C42"/>
    <w:rsid w:val="004E0465"/>
    <w:rsid w:val="004E0B5D"/>
    <w:rsid w:val="004E127B"/>
    <w:rsid w:val="004E16F7"/>
    <w:rsid w:val="004E1C0A"/>
    <w:rsid w:val="004E23E9"/>
    <w:rsid w:val="004E30C5"/>
    <w:rsid w:val="004E4AA5"/>
    <w:rsid w:val="004E4AEE"/>
    <w:rsid w:val="004E59E3"/>
    <w:rsid w:val="004E67C0"/>
    <w:rsid w:val="004E6D7F"/>
    <w:rsid w:val="004F1100"/>
    <w:rsid w:val="004F124C"/>
    <w:rsid w:val="004F391A"/>
    <w:rsid w:val="004F3CFB"/>
    <w:rsid w:val="004F519A"/>
    <w:rsid w:val="004F5305"/>
    <w:rsid w:val="004F6456"/>
    <w:rsid w:val="004F696E"/>
    <w:rsid w:val="004F6C71"/>
    <w:rsid w:val="004F6E5A"/>
    <w:rsid w:val="004F7EFD"/>
    <w:rsid w:val="00501139"/>
    <w:rsid w:val="00501EA4"/>
    <w:rsid w:val="0050247E"/>
    <w:rsid w:val="0050363E"/>
    <w:rsid w:val="00503705"/>
    <w:rsid w:val="005039BC"/>
    <w:rsid w:val="005043BB"/>
    <w:rsid w:val="00504897"/>
    <w:rsid w:val="00504A3D"/>
    <w:rsid w:val="00505767"/>
    <w:rsid w:val="005073F0"/>
    <w:rsid w:val="005102EC"/>
    <w:rsid w:val="00510A7B"/>
    <w:rsid w:val="00511998"/>
    <w:rsid w:val="00512F6E"/>
    <w:rsid w:val="00513038"/>
    <w:rsid w:val="005130D7"/>
    <w:rsid w:val="00514174"/>
    <w:rsid w:val="00516088"/>
    <w:rsid w:val="00516B0B"/>
    <w:rsid w:val="0052032B"/>
    <w:rsid w:val="005220EC"/>
    <w:rsid w:val="00523A52"/>
    <w:rsid w:val="00523F95"/>
    <w:rsid w:val="00524D65"/>
    <w:rsid w:val="00525B16"/>
    <w:rsid w:val="0052754A"/>
    <w:rsid w:val="00527B3E"/>
    <w:rsid w:val="00531E15"/>
    <w:rsid w:val="00533623"/>
    <w:rsid w:val="00533D04"/>
    <w:rsid w:val="00534804"/>
    <w:rsid w:val="005348CF"/>
    <w:rsid w:val="00534BDF"/>
    <w:rsid w:val="005354EA"/>
    <w:rsid w:val="0053585F"/>
    <w:rsid w:val="00535B51"/>
    <w:rsid w:val="00535EC4"/>
    <w:rsid w:val="00535ED9"/>
    <w:rsid w:val="0053692B"/>
    <w:rsid w:val="00536AA9"/>
    <w:rsid w:val="0053739B"/>
    <w:rsid w:val="0054056D"/>
    <w:rsid w:val="00541005"/>
    <w:rsid w:val="005412C5"/>
    <w:rsid w:val="00541853"/>
    <w:rsid w:val="00542B0C"/>
    <w:rsid w:val="00543BDA"/>
    <w:rsid w:val="005441CC"/>
    <w:rsid w:val="00545600"/>
    <w:rsid w:val="005479DA"/>
    <w:rsid w:val="00547BCC"/>
    <w:rsid w:val="0055013B"/>
    <w:rsid w:val="005510AA"/>
    <w:rsid w:val="00551F6F"/>
    <w:rsid w:val="00552323"/>
    <w:rsid w:val="00552A64"/>
    <w:rsid w:val="00555044"/>
    <w:rsid w:val="00557677"/>
    <w:rsid w:val="00557CC4"/>
    <w:rsid w:val="00560697"/>
    <w:rsid w:val="00561475"/>
    <w:rsid w:val="00561BA7"/>
    <w:rsid w:val="00562308"/>
    <w:rsid w:val="00562635"/>
    <w:rsid w:val="00563756"/>
    <w:rsid w:val="0056487B"/>
    <w:rsid w:val="00564FB9"/>
    <w:rsid w:val="0056702E"/>
    <w:rsid w:val="005671FB"/>
    <w:rsid w:val="00567F94"/>
    <w:rsid w:val="0057171A"/>
    <w:rsid w:val="005717A3"/>
    <w:rsid w:val="00573D9E"/>
    <w:rsid w:val="0057609A"/>
    <w:rsid w:val="00576260"/>
    <w:rsid w:val="00576295"/>
    <w:rsid w:val="005770D2"/>
    <w:rsid w:val="005801E3"/>
    <w:rsid w:val="00581802"/>
    <w:rsid w:val="00583050"/>
    <w:rsid w:val="00583393"/>
    <w:rsid w:val="005836A8"/>
    <w:rsid w:val="0058409C"/>
    <w:rsid w:val="00584262"/>
    <w:rsid w:val="00586630"/>
    <w:rsid w:val="00587ADD"/>
    <w:rsid w:val="00590E90"/>
    <w:rsid w:val="00593A49"/>
    <w:rsid w:val="00594401"/>
    <w:rsid w:val="00595E1A"/>
    <w:rsid w:val="00596160"/>
    <w:rsid w:val="005966E2"/>
    <w:rsid w:val="00596DEE"/>
    <w:rsid w:val="00597007"/>
    <w:rsid w:val="00597D45"/>
    <w:rsid w:val="005A0857"/>
    <w:rsid w:val="005A0966"/>
    <w:rsid w:val="005A0FBB"/>
    <w:rsid w:val="005A11B7"/>
    <w:rsid w:val="005A260B"/>
    <w:rsid w:val="005A485C"/>
    <w:rsid w:val="005A4A1B"/>
    <w:rsid w:val="005A4D27"/>
    <w:rsid w:val="005A7830"/>
    <w:rsid w:val="005A7FCE"/>
    <w:rsid w:val="005B0669"/>
    <w:rsid w:val="005B0F3F"/>
    <w:rsid w:val="005B191C"/>
    <w:rsid w:val="005B3AE8"/>
    <w:rsid w:val="005B4903"/>
    <w:rsid w:val="005B51CE"/>
    <w:rsid w:val="005B5885"/>
    <w:rsid w:val="005B5CD7"/>
    <w:rsid w:val="005B6CF6"/>
    <w:rsid w:val="005B7422"/>
    <w:rsid w:val="005B7614"/>
    <w:rsid w:val="005C025B"/>
    <w:rsid w:val="005C0FFE"/>
    <w:rsid w:val="005C2822"/>
    <w:rsid w:val="005C29B8"/>
    <w:rsid w:val="005C5F21"/>
    <w:rsid w:val="005C7156"/>
    <w:rsid w:val="005D0C75"/>
    <w:rsid w:val="005D0F89"/>
    <w:rsid w:val="005D2D71"/>
    <w:rsid w:val="005D3BDF"/>
    <w:rsid w:val="005D4171"/>
    <w:rsid w:val="005D563F"/>
    <w:rsid w:val="005D6A95"/>
    <w:rsid w:val="005D6B2C"/>
    <w:rsid w:val="005D6D9C"/>
    <w:rsid w:val="005D769F"/>
    <w:rsid w:val="005E22B7"/>
    <w:rsid w:val="005E2335"/>
    <w:rsid w:val="005E28EB"/>
    <w:rsid w:val="005E34CA"/>
    <w:rsid w:val="005E35DA"/>
    <w:rsid w:val="005E38C7"/>
    <w:rsid w:val="005E3C18"/>
    <w:rsid w:val="005E4250"/>
    <w:rsid w:val="005E6812"/>
    <w:rsid w:val="005E7881"/>
    <w:rsid w:val="005E78E0"/>
    <w:rsid w:val="005E7A1F"/>
    <w:rsid w:val="005F0D9C"/>
    <w:rsid w:val="005F284E"/>
    <w:rsid w:val="005F3CAE"/>
    <w:rsid w:val="005F4B16"/>
    <w:rsid w:val="005F7E9E"/>
    <w:rsid w:val="00600392"/>
    <w:rsid w:val="006015CE"/>
    <w:rsid w:val="00604784"/>
    <w:rsid w:val="00605174"/>
    <w:rsid w:val="00605397"/>
    <w:rsid w:val="00606419"/>
    <w:rsid w:val="0060666D"/>
    <w:rsid w:val="00607D29"/>
    <w:rsid w:val="00612952"/>
    <w:rsid w:val="00614CC1"/>
    <w:rsid w:val="00615A9D"/>
    <w:rsid w:val="00616F7D"/>
    <w:rsid w:val="00617172"/>
    <w:rsid w:val="00617387"/>
    <w:rsid w:val="006175C6"/>
    <w:rsid w:val="00617F45"/>
    <w:rsid w:val="006205D6"/>
    <w:rsid w:val="006211A7"/>
    <w:rsid w:val="006252D8"/>
    <w:rsid w:val="006259BC"/>
    <w:rsid w:val="00625E8A"/>
    <w:rsid w:val="0062636B"/>
    <w:rsid w:val="0062716A"/>
    <w:rsid w:val="006311B1"/>
    <w:rsid w:val="00631950"/>
    <w:rsid w:val="00632182"/>
    <w:rsid w:val="00632AE0"/>
    <w:rsid w:val="0063391F"/>
    <w:rsid w:val="00633C17"/>
    <w:rsid w:val="00633C9F"/>
    <w:rsid w:val="00634D9E"/>
    <w:rsid w:val="00636E3E"/>
    <w:rsid w:val="0063709D"/>
    <w:rsid w:val="006379F7"/>
    <w:rsid w:val="00637A03"/>
    <w:rsid w:val="00637E4D"/>
    <w:rsid w:val="0064016B"/>
    <w:rsid w:val="00640620"/>
    <w:rsid w:val="00640AF3"/>
    <w:rsid w:val="00641A1F"/>
    <w:rsid w:val="00642D6D"/>
    <w:rsid w:val="00644C36"/>
    <w:rsid w:val="00645904"/>
    <w:rsid w:val="00650708"/>
    <w:rsid w:val="0065142D"/>
    <w:rsid w:val="00651ACB"/>
    <w:rsid w:val="00651C47"/>
    <w:rsid w:val="00652AB2"/>
    <w:rsid w:val="00653FED"/>
    <w:rsid w:val="00654E93"/>
    <w:rsid w:val="00654EC0"/>
    <w:rsid w:val="0065525B"/>
    <w:rsid w:val="00655D4F"/>
    <w:rsid w:val="00656D29"/>
    <w:rsid w:val="006578C4"/>
    <w:rsid w:val="006617E4"/>
    <w:rsid w:val="006640E5"/>
    <w:rsid w:val="006646F1"/>
    <w:rsid w:val="00664929"/>
    <w:rsid w:val="00664F62"/>
    <w:rsid w:val="006655E1"/>
    <w:rsid w:val="0066725E"/>
    <w:rsid w:val="00667958"/>
    <w:rsid w:val="00672060"/>
    <w:rsid w:val="00672BFD"/>
    <w:rsid w:val="0067536F"/>
    <w:rsid w:val="00675A81"/>
    <w:rsid w:val="006770F4"/>
    <w:rsid w:val="00677A84"/>
    <w:rsid w:val="0068026D"/>
    <w:rsid w:val="00680A27"/>
    <w:rsid w:val="00680D3A"/>
    <w:rsid w:val="006816A4"/>
    <w:rsid w:val="006819B8"/>
    <w:rsid w:val="006840A6"/>
    <w:rsid w:val="006850CD"/>
    <w:rsid w:val="00685AAB"/>
    <w:rsid w:val="0069229F"/>
    <w:rsid w:val="00693783"/>
    <w:rsid w:val="0069576B"/>
    <w:rsid w:val="00695CE1"/>
    <w:rsid w:val="006A0316"/>
    <w:rsid w:val="006A07AA"/>
    <w:rsid w:val="006A25E5"/>
    <w:rsid w:val="006A2B46"/>
    <w:rsid w:val="006A2E91"/>
    <w:rsid w:val="006A336D"/>
    <w:rsid w:val="006A37B9"/>
    <w:rsid w:val="006B0F67"/>
    <w:rsid w:val="006B2672"/>
    <w:rsid w:val="006B2927"/>
    <w:rsid w:val="006B4541"/>
    <w:rsid w:val="006B54BF"/>
    <w:rsid w:val="006B5F44"/>
    <w:rsid w:val="006B5F90"/>
    <w:rsid w:val="006B62E4"/>
    <w:rsid w:val="006C1BBA"/>
    <w:rsid w:val="006C2079"/>
    <w:rsid w:val="006C2AD6"/>
    <w:rsid w:val="006C3533"/>
    <w:rsid w:val="006C489E"/>
    <w:rsid w:val="006C48FF"/>
    <w:rsid w:val="006C5A62"/>
    <w:rsid w:val="006C5D68"/>
    <w:rsid w:val="006C6976"/>
    <w:rsid w:val="006C6DD0"/>
    <w:rsid w:val="006C7CE6"/>
    <w:rsid w:val="006D04EA"/>
    <w:rsid w:val="006D10E8"/>
    <w:rsid w:val="006D16C4"/>
    <w:rsid w:val="006D30D7"/>
    <w:rsid w:val="006D3E96"/>
    <w:rsid w:val="006D4515"/>
    <w:rsid w:val="006D4BB1"/>
    <w:rsid w:val="006D4DA8"/>
    <w:rsid w:val="006D4EA0"/>
    <w:rsid w:val="006D6593"/>
    <w:rsid w:val="006D6949"/>
    <w:rsid w:val="006D69E7"/>
    <w:rsid w:val="006E6585"/>
    <w:rsid w:val="006E6A0C"/>
    <w:rsid w:val="006F03A8"/>
    <w:rsid w:val="006F0640"/>
    <w:rsid w:val="006F22A6"/>
    <w:rsid w:val="006F2ACA"/>
    <w:rsid w:val="006F2ADC"/>
    <w:rsid w:val="006F2BFE"/>
    <w:rsid w:val="006F31E9"/>
    <w:rsid w:val="006F6197"/>
    <w:rsid w:val="006F6284"/>
    <w:rsid w:val="006F7663"/>
    <w:rsid w:val="007002C5"/>
    <w:rsid w:val="00700DEA"/>
    <w:rsid w:val="00701B5B"/>
    <w:rsid w:val="00704387"/>
    <w:rsid w:val="007066F5"/>
    <w:rsid w:val="00707669"/>
    <w:rsid w:val="00711495"/>
    <w:rsid w:val="007117EB"/>
    <w:rsid w:val="0071196C"/>
    <w:rsid w:val="00711CA3"/>
    <w:rsid w:val="00711CBA"/>
    <w:rsid w:val="00711FB5"/>
    <w:rsid w:val="00712A01"/>
    <w:rsid w:val="00713529"/>
    <w:rsid w:val="0071358C"/>
    <w:rsid w:val="00714F58"/>
    <w:rsid w:val="0072024D"/>
    <w:rsid w:val="00721941"/>
    <w:rsid w:val="0072216B"/>
    <w:rsid w:val="00722FBF"/>
    <w:rsid w:val="00722FC2"/>
    <w:rsid w:val="00724518"/>
    <w:rsid w:val="00724E1B"/>
    <w:rsid w:val="00725949"/>
    <w:rsid w:val="00725AD1"/>
    <w:rsid w:val="00727FA2"/>
    <w:rsid w:val="00731859"/>
    <w:rsid w:val="007322D9"/>
    <w:rsid w:val="00732BC0"/>
    <w:rsid w:val="007340D0"/>
    <w:rsid w:val="007353C7"/>
    <w:rsid w:val="00735401"/>
    <w:rsid w:val="00736DA7"/>
    <w:rsid w:val="0073720F"/>
    <w:rsid w:val="00737796"/>
    <w:rsid w:val="0074165C"/>
    <w:rsid w:val="00741830"/>
    <w:rsid w:val="00742C35"/>
    <w:rsid w:val="007432CA"/>
    <w:rsid w:val="007439EB"/>
    <w:rsid w:val="00743CB4"/>
    <w:rsid w:val="00743F0A"/>
    <w:rsid w:val="007444E8"/>
    <w:rsid w:val="00745206"/>
    <w:rsid w:val="007452E9"/>
    <w:rsid w:val="0074548E"/>
    <w:rsid w:val="00745773"/>
    <w:rsid w:val="00746800"/>
    <w:rsid w:val="00746EA9"/>
    <w:rsid w:val="00747426"/>
    <w:rsid w:val="0074750D"/>
    <w:rsid w:val="00747AEA"/>
    <w:rsid w:val="007501A8"/>
    <w:rsid w:val="00750D61"/>
    <w:rsid w:val="00750EE1"/>
    <w:rsid w:val="00752B4D"/>
    <w:rsid w:val="00755402"/>
    <w:rsid w:val="00755D1C"/>
    <w:rsid w:val="00756B26"/>
    <w:rsid w:val="00756B8E"/>
    <w:rsid w:val="00756EDF"/>
    <w:rsid w:val="00756F49"/>
    <w:rsid w:val="007600E3"/>
    <w:rsid w:val="007603D8"/>
    <w:rsid w:val="0076138F"/>
    <w:rsid w:val="00764316"/>
    <w:rsid w:val="00765C43"/>
    <w:rsid w:val="00765EFB"/>
    <w:rsid w:val="00765F38"/>
    <w:rsid w:val="00766088"/>
    <w:rsid w:val="007671CA"/>
    <w:rsid w:val="0076720B"/>
    <w:rsid w:val="0076723E"/>
    <w:rsid w:val="00767C61"/>
    <w:rsid w:val="0077008A"/>
    <w:rsid w:val="00771EAB"/>
    <w:rsid w:val="00773C1F"/>
    <w:rsid w:val="0077402A"/>
    <w:rsid w:val="00774DA4"/>
    <w:rsid w:val="00775F88"/>
    <w:rsid w:val="00776599"/>
    <w:rsid w:val="007778C5"/>
    <w:rsid w:val="007805D3"/>
    <w:rsid w:val="0078114B"/>
    <w:rsid w:val="00781DD2"/>
    <w:rsid w:val="007830B3"/>
    <w:rsid w:val="00783ECF"/>
    <w:rsid w:val="0078413A"/>
    <w:rsid w:val="007864E9"/>
    <w:rsid w:val="00787BBB"/>
    <w:rsid w:val="00790E15"/>
    <w:rsid w:val="007920D1"/>
    <w:rsid w:val="007959E8"/>
    <w:rsid w:val="00795E9C"/>
    <w:rsid w:val="00796CA8"/>
    <w:rsid w:val="0079790E"/>
    <w:rsid w:val="007A0521"/>
    <w:rsid w:val="007A2E12"/>
    <w:rsid w:val="007A3475"/>
    <w:rsid w:val="007A41C8"/>
    <w:rsid w:val="007A459F"/>
    <w:rsid w:val="007A52B0"/>
    <w:rsid w:val="007A54CE"/>
    <w:rsid w:val="007A57C2"/>
    <w:rsid w:val="007A6FB0"/>
    <w:rsid w:val="007A6FD9"/>
    <w:rsid w:val="007A7FFA"/>
    <w:rsid w:val="007B04EB"/>
    <w:rsid w:val="007B0C09"/>
    <w:rsid w:val="007B0D4F"/>
    <w:rsid w:val="007B5A3D"/>
    <w:rsid w:val="007B5B95"/>
    <w:rsid w:val="007B6032"/>
    <w:rsid w:val="007B68EA"/>
    <w:rsid w:val="007B7453"/>
    <w:rsid w:val="007C06FE"/>
    <w:rsid w:val="007C238C"/>
    <w:rsid w:val="007C24DE"/>
    <w:rsid w:val="007C2D89"/>
    <w:rsid w:val="007C4593"/>
    <w:rsid w:val="007C5309"/>
    <w:rsid w:val="007C5677"/>
    <w:rsid w:val="007C6069"/>
    <w:rsid w:val="007C655F"/>
    <w:rsid w:val="007C7635"/>
    <w:rsid w:val="007C7EA6"/>
    <w:rsid w:val="007D06C4"/>
    <w:rsid w:val="007D1352"/>
    <w:rsid w:val="007D2508"/>
    <w:rsid w:val="007D2C9C"/>
    <w:rsid w:val="007D346A"/>
    <w:rsid w:val="007D6518"/>
    <w:rsid w:val="007D6ACD"/>
    <w:rsid w:val="007D76BD"/>
    <w:rsid w:val="007E0BF1"/>
    <w:rsid w:val="007E25A0"/>
    <w:rsid w:val="007E2FF0"/>
    <w:rsid w:val="007E36D8"/>
    <w:rsid w:val="007F0ED8"/>
    <w:rsid w:val="007F0F63"/>
    <w:rsid w:val="007F22FF"/>
    <w:rsid w:val="007F400F"/>
    <w:rsid w:val="007F4208"/>
    <w:rsid w:val="007F5A1B"/>
    <w:rsid w:val="007F75CE"/>
    <w:rsid w:val="007F7C00"/>
    <w:rsid w:val="008013A4"/>
    <w:rsid w:val="008027CE"/>
    <w:rsid w:val="00802F42"/>
    <w:rsid w:val="008034D9"/>
    <w:rsid w:val="00804383"/>
    <w:rsid w:val="00804BB7"/>
    <w:rsid w:val="00804D41"/>
    <w:rsid w:val="008050B2"/>
    <w:rsid w:val="00805824"/>
    <w:rsid w:val="00810257"/>
    <w:rsid w:val="008104F5"/>
    <w:rsid w:val="008105FA"/>
    <w:rsid w:val="00811072"/>
    <w:rsid w:val="00811369"/>
    <w:rsid w:val="0081345F"/>
    <w:rsid w:val="00815007"/>
    <w:rsid w:val="00815419"/>
    <w:rsid w:val="008154A1"/>
    <w:rsid w:val="0081603E"/>
    <w:rsid w:val="008163C8"/>
    <w:rsid w:val="008164A1"/>
    <w:rsid w:val="00816B92"/>
    <w:rsid w:val="00817325"/>
    <w:rsid w:val="008209E6"/>
    <w:rsid w:val="00820D45"/>
    <w:rsid w:val="00823303"/>
    <w:rsid w:val="008233B2"/>
    <w:rsid w:val="00823A9F"/>
    <w:rsid w:val="00823C85"/>
    <w:rsid w:val="008242A4"/>
    <w:rsid w:val="00824B4A"/>
    <w:rsid w:val="00825138"/>
    <w:rsid w:val="008269DD"/>
    <w:rsid w:val="00830621"/>
    <w:rsid w:val="0083348C"/>
    <w:rsid w:val="0083418F"/>
    <w:rsid w:val="00836A85"/>
    <w:rsid w:val="008373D3"/>
    <w:rsid w:val="00840557"/>
    <w:rsid w:val="00840617"/>
    <w:rsid w:val="00840F84"/>
    <w:rsid w:val="00842A47"/>
    <w:rsid w:val="00843A97"/>
    <w:rsid w:val="00843C13"/>
    <w:rsid w:val="00844244"/>
    <w:rsid w:val="0084501C"/>
    <w:rsid w:val="008454F8"/>
    <w:rsid w:val="008472A2"/>
    <w:rsid w:val="00847F03"/>
    <w:rsid w:val="0085173A"/>
    <w:rsid w:val="00855E93"/>
    <w:rsid w:val="008566AB"/>
    <w:rsid w:val="0085708F"/>
    <w:rsid w:val="008603CE"/>
    <w:rsid w:val="008606D1"/>
    <w:rsid w:val="00861C3D"/>
    <w:rsid w:val="00861F1D"/>
    <w:rsid w:val="008620FC"/>
    <w:rsid w:val="008627A5"/>
    <w:rsid w:val="00863D1C"/>
    <w:rsid w:val="00863E05"/>
    <w:rsid w:val="00865394"/>
    <w:rsid w:val="00865ACA"/>
    <w:rsid w:val="00865B5B"/>
    <w:rsid w:val="00865D28"/>
    <w:rsid w:val="00865F85"/>
    <w:rsid w:val="00866223"/>
    <w:rsid w:val="008665D4"/>
    <w:rsid w:val="00867C10"/>
    <w:rsid w:val="00870439"/>
    <w:rsid w:val="00870DA1"/>
    <w:rsid w:val="00871A09"/>
    <w:rsid w:val="00871FEA"/>
    <w:rsid w:val="008732E4"/>
    <w:rsid w:val="008759F5"/>
    <w:rsid w:val="0088159C"/>
    <w:rsid w:val="00882BF0"/>
    <w:rsid w:val="00883F93"/>
    <w:rsid w:val="00884DB3"/>
    <w:rsid w:val="008855E4"/>
    <w:rsid w:val="00885A9D"/>
    <w:rsid w:val="008864F6"/>
    <w:rsid w:val="0089049D"/>
    <w:rsid w:val="00890CCF"/>
    <w:rsid w:val="00891421"/>
    <w:rsid w:val="008920D8"/>
    <w:rsid w:val="008928C9"/>
    <w:rsid w:val="008930CB"/>
    <w:rsid w:val="008938DC"/>
    <w:rsid w:val="00893FD1"/>
    <w:rsid w:val="00894148"/>
    <w:rsid w:val="00894836"/>
    <w:rsid w:val="00894FF7"/>
    <w:rsid w:val="00895172"/>
    <w:rsid w:val="00895680"/>
    <w:rsid w:val="008959C6"/>
    <w:rsid w:val="008962DD"/>
    <w:rsid w:val="00896DFF"/>
    <w:rsid w:val="0089762C"/>
    <w:rsid w:val="008A1318"/>
    <w:rsid w:val="008A173B"/>
    <w:rsid w:val="008A1893"/>
    <w:rsid w:val="008A2A26"/>
    <w:rsid w:val="008A49E4"/>
    <w:rsid w:val="008A57E6"/>
    <w:rsid w:val="008A6965"/>
    <w:rsid w:val="008A6F81"/>
    <w:rsid w:val="008A769A"/>
    <w:rsid w:val="008B0121"/>
    <w:rsid w:val="008B05DB"/>
    <w:rsid w:val="008B0C9C"/>
    <w:rsid w:val="008B166D"/>
    <w:rsid w:val="008B17F4"/>
    <w:rsid w:val="008B3615"/>
    <w:rsid w:val="008B39C9"/>
    <w:rsid w:val="008B3FB1"/>
    <w:rsid w:val="008B4AC4"/>
    <w:rsid w:val="008B4B3D"/>
    <w:rsid w:val="008B50A3"/>
    <w:rsid w:val="008B50C8"/>
    <w:rsid w:val="008B5281"/>
    <w:rsid w:val="008B75B9"/>
    <w:rsid w:val="008B7E05"/>
    <w:rsid w:val="008C1797"/>
    <w:rsid w:val="008C219C"/>
    <w:rsid w:val="008C280E"/>
    <w:rsid w:val="008C2F19"/>
    <w:rsid w:val="008C36CF"/>
    <w:rsid w:val="008C475E"/>
    <w:rsid w:val="008C4C93"/>
    <w:rsid w:val="008C503D"/>
    <w:rsid w:val="008C619A"/>
    <w:rsid w:val="008D035B"/>
    <w:rsid w:val="008D0CE8"/>
    <w:rsid w:val="008D2D1D"/>
    <w:rsid w:val="008D453D"/>
    <w:rsid w:val="008D4AE5"/>
    <w:rsid w:val="008D53AD"/>
    <w:rsid w:val="008D562B"/>
    <w:rsid w:val="008D5733"/>
    <w:rsid w:val="008D622B"/>
    <w:rsid w:val="008D6496"/>
    <w:rsid w:val="008D666C"/>
    <w:rsid w:val="008D7B54"/>
    <w:rsid w:val="008D7CA2"/>
    <w:rsid w:val="008E0C9D"/>
    <w:rsid w:val="008E0FF1"/>
    <w:rsid w:val="008E12C7"/>
    <w:rsid w:val="008E1648"/>
    <w:rsid w:val="008E19EC"/>
    <w:rsid w:val="008E1B3E"/>
    <w:rsid w:val="008E2319"/>
    <w:rsid w:val="008E2B2A"/>
    <w:rsid w:val="008E46F7"/>
    <w:rsid w:val="008E4BB6"/>
    <w:rsid w:val="008E5313"/>
    <w:rsid w:val="008E5518"/>
    <w:rsid w:val="008E6A84"/>
    <w:rsid w:val="008F05D2"/>
    <w:rsid w:val="008F0CDC"/>
    <w:rsid w:val="008F17A3"/>
    <w:rsid w:val="008F1ED3"/>
    <w:rsid w:val="008F4C29"/>
    <w:rsid w:val="008F70BD"/>
    <w:rsid w:val="008F788F"/>
    <w:rsid w:val="008F7EA2"/>
    <w:rsid w:val="0090009E"/>
    <w:rsid w:val="009008C7"/>
    <w:rsid w:val="00902722"/>
    <w:rsid w:val="009027BC"/>
    <w:rsid w:val="009027E5"/>
    <w:rsid w:val="009062E6"/>
    <w:rsid w:val="009108DA"/>
    <w:rsid w:val="00911BE5"/>
    <w:rsid w:val="00911E99"/>
    <w:rsid w:val="0091258D"/>
    <w:rsid w:val="00913B16"/>
    <w:rsid w:val="00913CA9"/>
    <w:rsid w:val="009145AE"/>
    <w:rsid w:val="009146CE"/>
    <w:rsid w:val="00914CA7"/>
    <w:rsid w:val="00915C3E"/>
    <w:rsid w:val="009161A8"/>
    <w:rsid w:val="0091770E"/>
    <w:rsid w:val="00917B84"/>
    <w:rsid w:val="00917D02"/>
    <w:rsid w:val="00921BBC"/>
    <w:rsid w:val="00922454"/>
    <w:rsid w:val="009245AE"/>
    <w:rsid w:val="009245F5"/>
    <w:rsid w:val="009249EC"/>
    <w:rsid w:val="00925BE4"/>
    <w:rsid w:val="009273B3"/>
    <w:rsid w:val="009305B5"/>
    <w:rsid w:val="00933185"/>
    <w:rsid w:val="00934752"/>
    <w:rsid w:val="00934FB9"/>
    <w:rsid w:val="00936001"/>
    <w:rsid w:val="009378DD"/>
    <w:rsid w:val="00941051"/>
    <w:rsid w:val="009429D5"/>
    <w:rsid w:val="00942BF1"/>
    <w:rsid w:val="00942C84"/>
    <w:rsid w:val="009441CB"/>
    <w:rsid w:val="00945180"/>
    <w:rsid w:val="0094527B"/>
    <w:rsid w:val="00945428"/>
    <w:rsid w:val="0094607B"/>
    <w:rsid w:val="00947AF1"/>
    <w:rsid w:val="0095146C"/>
    <w:rsid w:val="00951583"/>
    <w:rsid w:val="00953604"/>
    <w:rsid w:val="0095496B"/>
    <w:rsid w:val="00960F1E"/>
    <w:rsid w:val="009610DC"/>
    <w:rsid w:val="00961490"/>
    <w:rsid w:val="00961C16"/>
    <w:rsid w:val="0096381A"/>
    <w:rsid w:val="00965E04"/>
    <w:rsid w:val="00966D58"/>
    <w:rsid w:val="009674AD"/>
    <w:rsid w:val="00970CDC"/>
    <w:rsid w:val="00970E23"/>
    <w:rsid w:val="00970E50"/>
    <w:rsid w:val="009720BF"/>
    <w:rsid w:val="009729BC"/>
    <w:rsid w:val="00975727"/>
    <w:rsid w:val="00977010"/>
    <w:rsid w:val="00977D02"/>
    <w:rsid w:val="00977FF9"/>
    <w:rsid w:val="009809BB"/>
    <w:rsid w:val="0098364B"/>
    <w:rsid w:val="00986F02"/>
    <w:rsid w:val="009908A3"/>
    <w:rsid w:val="00991033"/>
    <w:rsid w:val="009910AC"/>
    <w:rsid w:val="009911AF"/>
    <w:rsid w:val="00991875"/>
    <w:rsid w:val="00991F92"/>
    <w:rsid w:val="00992985"/>
    <w:rsid w:val="00993889"/>
    <w:rsid w:val="00994CA1"/>
    <w:rsid w:val="0099551B"/>
    <w:rsid w:val="00996BD2"/>
    <w:rsid w:val="00997BF1"/>
    <w:rsid w:val="009A089C"/>
    <w:rsid w:val="009A09E5"/>
    <w:rsid w:val="009A118E"/>
    <w:rsid w:val="009A1D52"/>
    <w:rsid w:val="009A21CD"/>
    <w:rsid w:val="009A278C"/>
    <w:rsid w:val="009A2BC2"/>
    <w:rsid w:val="009A42C1"/>
    <w:rsid w:val="009A4B37"/>
    <w:rsid w:val="009A5246"/>
    <w:rsid w:val="009A5429"/>
    <w:rsid w:val="009A5E4F"/>
    <w:rsid w:val="009A72AD"/>
    <w:rsid w:val="009A7E24"/>
    <w:rsid w:val="009B09E0"/>
    <w:rsid w:val="009B0BC5"/>
    <w:rsid w:val="009B1247"/>
    <w:rsid w:val="009B3F93"/>
    <w:rsid w:val="009B6029"/>
    <w:rsid w:val="009B6971"/>
    <w:rsid w:val="009B7E73"/>
    <w:rsid w:val="009C2145"/>
    <w:rsid w:val="009C27F1"/>
    <w:rsid w:val="009C3152"/>
    <w:rsid w:val="009C3257"/>
    <w:rsid w:val="009C4CFA"/>
    <w:rsid w:val="009C5070"/>
    <w:rsid w:val="009C71EF"/>
    <w:rsid w:val="009D112C"/>
    <w:rsid w:val="009D1385"/>
    <w:rsid w:val="009D36BD"/>
    <w:rsid w:val="009D38EB"/>
    <w:rsid w:val="009D47FA"/>
    <w:rsid w:val="009D4C5B"/>
    <w:rsid w:val="009D50D2"/>
    <w:rsid w:val="009D5FDC"/>
    <w:rsid w:val="009D6BCA"/>
    <w:rsid w:val="009D72EB"/>
    <w:rsid w:val="009D77E9"/>
    <w:rsid w:val="009E0F62"/>
    <w:rsid w:val="009E203B"/>
    <w:rsid w:val="009E28F4"/>
    <w:rsid w:val="009E3CD2"/>
    <w:rsid w:val="009E4A58"/>
    <w:rsid w:val="009E5021"/>
    <w:rsid w:val="009E5A2D"/>
    <w:rsid w:val="009E5AB2"/>
    <w:rsid w:val="009E5B2C"/>
    <w:rsid w:val="009E5D54"/>
    <w:rsid w:val="009E6219"/>
    <w:rsid w:val="009E7DCB"/>
    <w:rsid w:val="009F03B3"/>
    <w:rsid w:val="009F482A"/>
    <w:rsid w:val="009F5B90"/>
    <w:rsid w:val="009F66BD"/>
    <w:rsid w:val="009F6E4E"/>
    <w:rsid w:val="00A0096C"/>
    <w:rsid w:val="00A00AB8"/>
    <w:rsid w:val="00A01757"/>
    <w:rsid w:val="00A0190C"/>
    <w:rsid w:val="00A01FA8"/>
    <w:rsid w:val="00A028C0"/>
    <w:rsid w:val="00A02BAE"/>
    <w:rsid w:val="00A0437B"/>
    <w:rsid w:val="00A06A6B"/>
    <w:rsid w:val="00A07E47"/>
    <w:rsid w:val="00A10A18"/>
    <w:rsid w:val="00A115E4"/>
    <w:rsid w:val="00A12161"/>
    <w:rsid w:val="00A123E1"/>
    <w:rsid w:val="00A129D0"/>
    <w:rsid w:val="00A12C33"/>
    <w:rsid w:val="00A12EDD"/>
    <w:rsid w:val="00A138BA"/>
    <w:rsid w:val="00A13C51"/>
    <w:rsid w:val="00A14C8E"/>
    <w:rsid w:val="00A153D9"/>
    <w:rsid w:val="00A15F09"/>
    <w:rsid w:val="00A169B6"/>
    <w:rsid w:val="00A1794E"/>
    <w:rsid w:val="00A2271D"/>
    <w:rsid w:val="00A237C1"/>
    <w:rsid w:val="00A237D5"/>
    <w:rsid w:val="00A23BB4"/>
    <w:rsid w:val="00A30EFC"/>
    <w:rsid w:val="00A31984"/>
    <w:rsid w:val="00A32D73"/>
    <w:rsid w:val="00A3367B"/>
    <w:rsid w:val="00A33B15"/>
    <w:rsid w:val="00A3597D"/>
    <w:rsid w:val="00A36B8C"/>
    <w:rsid w:val="00A36DD1"/>
    <w:rsid w:val="00A37A92"/>
    <w:rsid w:val="00A4006C"/>
    <w:rsid w:val="00A40091"/>
    <w:rsid w:val="00A4030F"/>
    <w:rsid w:val="00A41C79"/>
    <w:rsid w:val="00A41CB5"/>
    <w:rsid w:val="00A42155"/>
    <w:rsid w:val="00A42BD2"/>
    <w:rsid w:val="00A42CDF"/>
    <w:rsid w:val="00A4452E"/>
    <w:rsid w:val="00A4472C"/>
    <w:rsid w:val="00A44E69"/>
    <w:rsid w:val="00A4661E"/>
    <w:rsid w:val="00A51499"/>
    <w:rsid w:val="00A521F3"/>
    <w:rsid w:val="00A55BD6"/>
    <w:rsid w:val="00A55D50"/>
    <w:rsid w:val="00A55EFA"/>
    <w:rsid w:val="00A55FAE"/>
    <w:rsid w:val="00A57142"/>
    <w:rsid w:val="00A622FC"/>
    <w:rsid w:val="00A648CD"/>
    <w:rsid w:val="00A6537A"/>
    <w:rsid w:val="00A67767"/>
    <w:rsid w:val="00A67866"/>
    <w:rsid w:val="00A70B07"/>
    <w:rsid w:val="00A712A1"/>
    <w:rsid w:val="00A71EAA"/>
    <w:rsid w:val="00A72320"/>
    <w:rsid w:val="00A723F8"/>
    <w:rsid w:val="00A77480"/>
    <w:rsid w:val="00A77CCB"/>
    <w:rsid w:val="00A83D85"/>
    <w:rsid w:val="00A83D8D"/>
    <w:rsid w:val="00A8446B"/>
    <w:rsid w:val="00A8473F"/>
    <w:rsid w:val="00A862D6"/>
    <w:rsid w:val="00A8634A"/>
    <w:rsid w:val="00A86D20"/>
    <w:rsid w:val="00A8715E"/>
    <w:rsid w:val="00A9295B"/>
    <w:rsid w:val="00A93B09"/>
    <w:rsid w:val="00A952D7"/>
    <w:rsid w:val="00A963F7"/>
    <w:rsid w:val="00A96AD8"/>
    <w:rsid w:val="00A96EC7"/>
    <w:rsid w:val="00AA052C"/>
    <w:rsid w:val="00AA1E45"/>
    <w:rsid w:val="00AA4286"/>
    <w:rsid w:val="00AA456B"/>
    <w:rsid w:val="00AA57F5"/>
    <w:rsid w:val="00AA672E"/>
    <w:rsid w:val="00AA6E16"/>
    <w:rsid w:val="00AA6EC9"/>
    <w:rsid w:val="00AB05CB"/>
    <w:rsid w:val="00AB3C71"/>
    <w:rsid w:val="00AB5258"/>
    <w:rsid w:val="00AB6309"/>
    <w:rsid w:val="00AB6C5F"/>
    <w:rsid w:val="00AB7129"/>
    <w:rsid w:val="00AB72B7"/>
    <w:rsid w:val="00AC0B7E"/>
    <w:rsid w:val="00AC27A6"/>
    <w:rsid w:val="00AC30F7"/>
    <w:rsid w:val="00AC3A5A"/>
    <w:rsid w:val="00AC4998"/>
    <w:rsid w:val="00AC4D95"/>
    <w:rsid w:val="00AC519A"/>
    <w:rsid w:val="00AC5DF4"/>
    <w:rsid w:val="00AC6551"/>
    <w:rsid w:val="00AD0413"/>
    <w:rsid w:val="00AD0AEF"/>
    <w:rsid w:val="00AD0C5C"/>
    <w:rsid w:val="00AD11B7"/>
    <w:rsid w:val="00AD1A4E"/>
    <w:rsid w:val="00AD1A94"/>
    <w:rsid w:val="00AD1C05"/>
    <w:rsid w:val="00AD2790"/>
    <w:rsid w:val="00AD4126"/>
    <w:rsid w:val="00AD421C"/>
    <w:rsid w:val="00AD44FA"/>
    <w:rsid w:val="00AD47A0"/>
    <w:rsid w:val="00AD5280"/>
    <w:rsid w:val="00AE070A"/>
    <w:rsid w:val="00AE101C"/>
    <w:rsid w:val="00AE11B5"/>
    <w:rsid w:val="00AE2536"/>
    <w:rsid w:val="00AE2A69"/>
    <w:rsid w:val="00AE37E5"/>
    <w:rsid w:val="00AE4923"/>
    <w:rsid w:val="00AE5EB4"/>
    <w:rsid w:val="00AE5F52"/>
    <w:rsid w:val="00AF0C18"/>
    <w:rsid w:val="00AF0CEA"/>
    <w:rsid w:val="00AF140A"/>
    <w:rsid w:val="00AF32E7"/>
    <w:rsid w:val="00AF33AA"/>
    <w:rsid w:val="00AF4452"/>
    <w:rsid w:val="00AF47C5"/>
    <w:rsid w:val="00AF5398"/>
    <w:rsid w:val="00AF5E92"/>
    <w:rsid w:val="00B022D7"/>
    <w:rsid w:val="00B049AF"/>
    <w:rsid w:val="00B058CF"/>
    <w:rsid w:val="00B06540"/>
    <w:rsid w:val="00B07242"/>
    <w:rsid w:val="00B10534"/>
    <w:rsid w:val="00B113DB"/>
    <w:rsid w:val="00B118C0"/>
    <w:rsid w:val="00B11D8A"/>
    <w:rsid w:val="00B12981"/>
    <w:rsid w:val="00B147DD"/>
    <w:rsid w:val="00B156FD"/>
    <w:rsid w:val="00B17658"/>
    <w:rsid w:val="00B204F3"/>
    <w:rsid w:val="00B21F61"/>
    <w:rsid w:val="00B25B89"/>
    <w:rsid w:val="00B261F1"/>
    <w:rsid w:val="00B265BC"/>
    <w:rsid w:val="00B26F52"/>
    <w:rsid w:val="00B30BC3"/>
    <w:rsid w:val="00B31FB1"/>
    <w:rsid w:val="00B323B2"/>
    <w:rsid w:val="00B32819"/>
    <w:rsid w:val="00B33952"/>
    <w:rsid w:val="00B33C5E"/>
    <w:rsid w:val="00B33F3F"/>
    <w:rsid w:val="00B340EA"/>
    <w:rsid w:val="00B342F4"/>
    <w:rsid w:val="00B34369"/>
    <w:rsid w:val="00B34A97"/>
    <w:rsid w:val="00B34DC2"/>
    <w:rsid w:val="00B378E5"/>
    <w:rsid w:val="00B40111"/>
    <w:rsid w:val="00B40311"/>
    <w:rsid w:val="00B40D07"/>
    <w:rsid w:val="00B41166"/>
    <w:rsid w:val="00B4346D"/>
    <w:rsid w:val="00B440F4"/>
    <w:rsid w:val="00B44366"/>
    <w:rsid w:val="00B447A5"/>
    <w:rsid w:val="00B45B14"/>
    <w:rsid w:val="00B45C59"/>
    <w:rsid w:val="00B4654C"/>
    <w:rsid w:val="00B47293"/>
    <w:rsid w:val="00B50E50"/>
    <w:rsid w:val="00B51B57"/>
    <w:rsid w:val="00B52120"/>
    <w:rsid w:val="00B52F0E"/>
    <w:rsid w:val="00B54ABC"/>
    <w:rsid w:val="00B564B3"/>
    <w:rsid w:val="00B56BB1"/>
    <w:rsid w:val="00B56FBE"/>
    <w:rsid w:val="00B604E8"/>
    <w:rsid w:val="00B60ACF"/>
    <w:rsid w:val="00B60AF1"/>
    <w:rsid w:val="00B62B58"/>
    <w:rsid w:val="00B64E08"/>
    <w:rsid w:val="00B65149"/>
    <w:rsid w:val="00B6578B"/>
    <w:rsid w:val="00B66567"/>
    <w:rsid w:val="00B66F52"/>
    <w:rsid w:val="00B66FE5"/>
    <w:rsid w:val="00B70BB1"/>
    <w:rsid w:val="00B71452"/>
    <w:rsid w:val="00B72041"/>
    <w:rsid w:val="00B72880"/>
    <w:rsid w:val="00B7510A"/>
    <w:rsid w:val="00B7527B"/>
    <w:rsid w:val="00B758BF"/>
    <w:rsid w:val="00B77EC8"/>
    <w:rsid w:val="00B80B7C"/>
    <w:rsid w:val="00B827A6"/>
    <w:rsid w:val="00B82FD0"/>
    <w:rsid w:val="00B831CE"/>
    <w:rsid w:val="00B86677"/>
    <w:rsid w:val="00B87131"/>
    <w:rsid w:val="00B91187"/>
    <w:rsid w:val="00B930E2"/>
    <w:rsid w:val="00B939B1"/>
    <w:rsid w:val="00B94945"/>
    <w:rsid w:val="00B949CF"/>
    <w:rsid w:val="00B96C1A"/>
    <w:rsid w:val="00B96D40"/>
    <w:rsid w:val="00B97386"/>
    <w:rsid w:val="00BA263B"/>
    <w:rsid w:val="00BA2FB7"/>
    <w:rsid w:val="00BA42B2"/>
    <w:rsid w:val="00BA58D4"/>
    <w:rsid w:val="00BA5A9B"/>
    <w:rsid w:val="00BA5B9E"/>
    <w:rsid w:val="00BA7C9A"/>
    <w:rsid w:val="00BB211C"/>
    <w:rsid w:val="00BB24A4"/>
    <w:rsid w:val="00BB5F8F"/>
    <w:rsid w:val="00BB657A"/>
    <w:rsid w:val="00BB78C4"/>
    <w:rsid w:val="00BC1A4E"/>
    <w:rsid w:val="00BC303A"/>
    <w:rsid w:val="00BC491C"/>
    <w:rsid w:val="00BC5DC7"/>
    <w:rsid w:val="00BC6B8B"/>
    <w:rsid w:val="00BC73D8"/>
    <w:rsid w:val="00BD2002"/>
    <w:rsid w:val="00BD3EC6"/>
    <w:rsid w:val="00BD52D7"/>
    <w:rsid w:val="00BD5AD2"/>
    <w:rsid w:val="00BE22F3"/>
    <w:rsid w:val="00BE4606"/>
    <w:rsid w:val="00BE5B52"/>
    <w:rsid w:val="00BE70EE"/>
    <w:rsid w:val="00BE7B8D"/>
    <w:rsid w:val="00BE7F7D"/>
    <w:rsid w:val="00BF063D"/>
    <w:rsid w:val="00BF0976"/>
    <w:rsid w:val="00BF0993"/>
    <w:rsid w:val="00BF10A9"/>
    <w:rsid w:val="00BF13EF"/>
    <w:rsid w:val="00BF1703"/>
    <w:rsid w:val="00BF231C"/>
    <w:rsid w:val="00BF3BF0"/>
    <w:rsid w:val="00BF46F3"/>
    <w:rsid w:val="00BF4E03"/>
    <w:rsid w:val="00BF51E5"/>
    <w:rsid w:val="00BF6F52"/>
    <w:rsid w:val="00BF74A6"/>
    <w:rsid w:val="00C013AD"/>
    <w:rsid w:val="00C01A37"/>
    <w:rsid w:val="00C02B17"/>
    <w:rsid w:val="00C04904"/>
    <w:rsid w:val="00C04B7F"/>
    <w:rsid w:val="00C056B3"/>
    <w:rsid w:val="00C07AAC"/>
    <w:rsid w:val="00C103E5"/>
    <w:rsid w:val="00C108D0"/>
    <w:rsid w:val="00C13319"/>
    <w:rsid w:val="00C13EE9"/>
    <w:rsid w:val="00C14603"/>
    <w:rsid w:val="00C156B8"/>
    <w:rsid w:val="00C21540"/>
    <w:rsid w:val="00C2169C"/>
    <w:rsid w:val="00C21906"/>
    <w:rsid w:val="00C21BFA"/>
    <w:rsid w:val="00C23F51"/>
    <w:rsid w:val="00C24C8D"/>
    <w:rsid w:val="00C25FE2"/>
    <w:rsid w:val="00C26B53"/>
    <w:rsid w:val="00C279B2"/>
    <w:rsid w:val="00C306BA"/>
    <w:rsid w:val="00C33E50"/>
    <w:rsid w:val="00C34C04"/>
    <w:rsid w:val="00C34C20"/>
    <w:rsid w:val="00C35A3E"/>
    <w:rsid w:val="00C3640A"/>
    <w:rsid w:val="00C366DC"/>
    <w:rsid w:val="00C36C20"/>
    <w:rsid w:val="00C41044"/>
    <w:rsid w:val="00C41AF6"/>
    <w:rsid w:val="00C42130"/>
    <w:rsid w:val="00C423A4"/>
    <w:rsid w:val="00C423E3"/>
    <w:rsid w:val="00C44BF5"/>
    <w:rsid w:val="00C46D7E"/>
    <w:rsid w:val="00C50CF6"/>
    <w:rsid w:val="00C521D6"/>
    <w:rsid w:val="00C53AB6"/>
    <w:rsid w:val="00C54B9C"/>
    <w:rsid w:val="00C55232"/>
    <w:rsid w:val="00C553A4"/>
    <w:rsid w:val="00C55A06"/>
    <w:rsid w:val="00C55D03"/>
    <w:rsid w:val="00C57926"/>
    <w:rsid w:val="00C601BC"/>
    <w:rsid w:val="00C60397"/>
    <w:rsid w:val="00C616D6"/>
    <w:rsid w:val="00C6329F"/>
    <w:rsid w:val="00C63340"/>
    <w:rsid w:val="00C63F21"/>
    <w:rsid w:val="00C643F9"/>
    <w:rsid w:val="00C64E95"/>
    <w:rsid w:val="00C65A5E"/>
    <w:rsid w:val="00C66483"/>
    <w:rsid w:val="00C70CA3"/>
    <w:rsid w:val="00C71372"/>
    <w:rsid w:val="00C72410"/>
    <w:rsid w:val="00C7287F"/>
    <w:rsid w:val="00C73DF1"/>
    <w:rsid w:val="00C7728F"/>
    <w:rsid w:val="00C80CB8"/>
    <w:rsid w:val="00C819F8"/>
    <w:rsid w:val="00C8248C"/>
    <w:rsid w:val="00C8273B"/>
    <w:rsid w:val="00C84D42"/>
    <w:rsid w:val="00C84E33"/>
    <w:rsid w:val="00C86090"/>
    <w:rsid w:val="00C86A14"/>
    <w:rsid w:val="00C86D6F"/>
    <w:rsid w:val="00C905FC"/>
    <w:rsid w:val="00C92D03"/>
    <w:rsid w:val="00C9319C"/>
    <w:rsid w:val="00C9435D"/>
    <w:rsid w:val="00C94DF2"/>
    <w:rsid w:val="00C94F3F"/>
    <w:rsid w:val="00C96741"/>
    <w:rsid w:val="00C9782A"/>
    <w:rsid w:val="00CA2D1B"/>
    <w:rsid w:val="00CA375D"/>
    <w:rsid w:val="00CA5A5B"/>
    <w:rsid w:val="00CA662A"/>
    <w:rsid w:val="00CA67DB"/>
    <w:rsid w:val="00CA7AFD"/>
    <w:rsid w:val="00CA7C3C"/>
    <w:rsid w:val="00CB0189"/>
    <w:rsid w:val="00CB0596"/>
    <w:rsid w:val="00CB0BA2"/>
    <w:rsid w:val="00CB1A42"/>
    <w:rsid w:val="00CB1B0C"/>
    <w:rsid w:val="00CB2C0B"/>
    <w:rsid w:val="00CB517D"/>
    <w:rsid w:val="00CB5347"/>
    <w:rsid w:val="00CB6195"/>
    <w:rsid w:val="00CB74C9"/>
    <w:rsid w:val="00CC038D"/>
    <w:rsid w:val="00CC08DB"/>
    <w:rsid w:val="00CC2438"/>
    <w:rsid w:val="00CC39FF"/>
    <w:rsid w:val="00CC3C2F"/>
    <w:rsid w:val="00CC4485"/>
    <w:rsid w:val="00CC4AC8"/>
    <w:rsid w:val="00CC5233"/>
    <w:rsid w:val="00CC5CB6"/>
    <w:rsid w:val="00CC5DE6"/>
    <w:rsid w:val="00CC6CA0"/>
    <w:rsid w:val="00CC6E4E"/>
    <w:rsid w:val="00CC6FE8"/>
    <w:rsid w:val="00CC7202"/>
    <w:rsid w:val="00CC79BD"/>
    <w:rsid w:val="00CD0417"/>
    <w:rsid w:val="00CD2808"/>
    <w:rsid w:val="00CD28BF"/>
    <w:rsid w:val="00CD4092"/>
    <w:rsid w:val="00CD4A20"/>
    <w:rsid w:val="00CD50A1"/>
    <w:rsid w:val="00CD519E"/>
    <w:rsid w:val="00CE0C4F"/>
    <w:rsid w:val="00CE12E2"/>
    <w:rsid w:val="00CE30EA"/>
    <w:rsid w:val="00CE4494"/>
    <w:rsid w:val="00CE7E56"/>
    <w:rsid w:val="00CF048A"/>
    <w:rsid w:val="00CF155A"/>
    <w:rsid w:val="00CF2947"/>
    <w:rsid w:val="00CF340B"/>
    <w:rsid w:val="00CF5984"/>
    <w:rsid w:val="00CF5A92"/>
    <w:rsid w:val="00CF686F"/>
    <w:rsid w:val="00CF6E60"/>
    <w:rsid w:val="00CF7BCA"/>
    <w:rsid w:val="00CF7EA9"/>
    <w:rsid w:val="00D008FD"/>
    <w:rsid w:val="00D010D3"/>
    <w:rsid w:val="00D0321C"/>
    <w:rsid w:val="00D035EC"/>
    <w:rsid w:val="00D0442E"/>
    <w:rsid w:val="00D04525"/>
    <w:rsid w:val="00D04C7D"/>
    <w:rsid w:val="00D05A56"/>
    <w:rsid w:val="00D06AB1"/>
    <w:rsid w:val="00D06FC1"/>
    <w:rsid w:val="00D072ED"/>
    <w:rsid w:val="00D07465"/>
    <w:rsid w:val="00D07A16"/>
    <w:rsid w:val="00D07F11"/>
    <w:rsid w:val="00D1067E"/>
    <w:rsid w:val="00D10F50"/>
    <w:rsid w:val="00D11272"/>
    <w:rsid w:val="00D126F5"/>
    <w:rsid w:val="00D1489E"/>
    <w:rsid w:val="00D1596D"/>
    <w:rsid w:val="00D20737"/>
    <w:rsid w:val="00D21E81"/>
    <w:rsid w:val="00D223DE"/>
    <w:rsid w:val="00D22AAB"/>
    <w:rsid w:val="00D23151"/>
    <w:rsid w:val="00D2357F"/>
    <w:rsid w:val="00D25E37"/>
    <w:rsid w:val="00D2661A"/>
    <w:rsid w:val="00D2723A"/>
    <w:rsid w:val="00D27582"/>
    <w:rsid w:val="00D276C1"/>
    <w:rsid w:val="00D27EC4"/>
    <w:rsid w:val="00D303FE"/>
    <w:rsid w:val="00D30818"/>
    <w:rsid w:val="00D30EE7"/>
    <w:rsid w:val="00D32719"/>
    <w:rsid w:val="00D32EEF"/>
    <w:rsid w:val="00D33333"/>
    <w:rsid w:val="00D34F70"/>
    <w:rsid w:val="00D352A2"/>
    <w:rsid w:val="00D36D4A"/>
    <w:rsid w:val="00D40314"/>
    <w:rsid w:val="00D40975"/>
    <w:rsid w:val="00D4162B"/>
    <w:rsid w:val="00D41A51"/>
    <w:rsid w:val="00D4514F"/>
    <w:rsid w:val="00D451E2"/>
    <w:rsid w:val="00D45E89"/>
    <w:rsid w:val="00D45E8D"/>
    <w:rsid w:val="00D46130"/>
    <w:rsid w:val="00D466AE"/>
    <w:rsid w:val="00D4734F"/>
    <w:rsid w:val="00D51BF3"/>
    <w:rsid w:val="00D51C1C"/>
    <w:rsid w:val="00D52758"/>
    <w:rsid w:val="00D57CC4"/>
    <w:rsid w:val="00D60465"/>
    <w:rsid w:val="00D60F11"/>
    <w:rsid w:val="00D628C7"/>
    <w:rsid w:val="00D6610B"/>
    <w:rsid w:val="00D6615C"/>
    <w:rsid w:val="00D66846"/>
    <w:rsid w:val="00D66D48"/>
    <w:rsid w:val="00D675FB"/>
    <w:rsid w:val="00D71F25"/>
    <w:rsid w:val="00D72A9C"/>
    <w:rsid w:val="00D73AB3"/>
    <w:rsid w:val="00D754B5"/>
    <w:rsid w:val="00D77031"/>
    <w:rsid w:val="00D80626"/>
    <w:rsid w:val="00D8114A"/>
    <w:rsid w:val="00D83201"/>
    <w:rsid w:val="00D84598"/>
    <w:rsid w:val="00D84941"/>
    <w:rsid w:val="00D84FA1"/>
    <w:rsid w:val="00D851F0"/>
    <w:rsid w:val="00D8632C"/>
    <w:rsid w:val="00D86BDD"/>
    <w:rsid w:val="00D86DB7"/>
    <w:rsid w:val="00D87159"/>
    <w:rsid w:val="00D87BF5"/>
    <w:rsid w:val="00D87D0C"/>
    <w:rsid w:val="00D90400"/>
    <w:rsid w:val="00D90721"/>
    <w:rsid w:val="00D926D0"/>
    <w:rsid w:val="00D93030"/>
    <w:rsid w:val="00D950E1"/>
    <w:rsid w:val="00D952A6"/>
    <w:rsid w:val="00D9553B"/>
    <w:rsid w:val="00D95C09"/>
    <w:rsid w:val="00D965BC"/>
    <w:rsid w:val="00D97F99"/>
    <w:rsid w:val="00DA131E"/>
    <w:rsid w:val="00DA1E08"/>
    <w:rsid w:val="00DA24F8"/>
    <w:rsid w:val="00DA270E"/>
    <w:rsid w:val="00DA28D5"/>
    <w:rsid w:val="00DA28E8"/>
    <w:rsid w:val="00DA38D3"/>
    <w:rsid w:val="00DA3932"/>
    <w:rsid w:val="00DA3AFC"/>
    <w:rsid w:val="00DA64F8"/>
    <w:rsid w:val="00DA6C15"/>
    <w:rsid w:val="00DB0258"/>
    <w:rsid w:val="00DB38EE"/>
    <w:rsid w:val="00DB3DBE"/>
    <w:rsid w:val="00DB3EC2"/>
    <w:rsid w:val="00DB448A"/>
    <w:rsid w:val="00DB498B"/>
    <w:rsid w:val="00DB6220"/>
    <w:rsid w:val="00DB66CA"/>
    <w:rsid w:val="00DB67B5"/>
    <w:rsid w:val="00DB6BCA"/>
    <w:rsid w:val="00DB6F54"/>
    <w:rsid w:val="00DB73F7"/>
    <w:rsid w:val="00DB7608"/>
    <w:rsid w:val="00DC0321"/>
    <w:rsid w:val="00DC3067"/>
    <w:rsid w:val="00DC370B"/>
    <w:rsid w:val="00DC5B90"/>
    <w:rsid w:val="00DC71FD"/>
    <w:rsid w:val="00DC7CC3"/>
    <w:rsid w:val="00DD0052"/>
    <w:rsid w:val="00DD00FF"/>
    <w:rsid w:val="00DD0619"/>
    <w:rsid w:val="00DD07FB"/>
    <w:rsid w:val="00DD1A3A"/>
    <w:rsid w:val="00DD25C6"/>
    <w:rsid w:val="00DD4FE5"/>
    <w:rsid w:val="00DD54B0"/>
    <w:rsid w:val="00DD57EE"/>
    <w:rsid w:val="00DD5DBC"/>
    <w:rsid w:val="00DD697E"/>
    <w:rsid w:val="00DD6BCC"/>
    <w:rsid w:val="00DD7257"/>
    <w:rsid w:val="00DE0A4B"/>
    <w:rsid w:val="00DE2410"/>
    <w:rsid w:val="00DE2939"/>
    <w:rsid w:val="00DE3597"/>
    <w:rsid w:val="00DE5B0E"/>
    <w:rsid w:val="00DE6E81"/>
    <w:rsid w:val="00DE703F"/>
    <w:rsid w:val="00DE707A"/>
    <w:rsid w:val="00DE719B"/>
    <w:rsid w:val="00DE7595"/>
    <w:rsid w:val="00DE7C33"/>
    <w:rsid w:val="00DF1961"/>
    <w:rsid w:val="00DF1BAF"/>
    <w:rsid w:val="00DF1D7B"/>
    <w:rsid w:val="00DF3AF4"/>
    <w:rsid w:val="00DF44DE"/>
    <w:rsid w:val="00DF4797"/>
    <w:rsid w:val="00DF5637"/>
    <w:rsid w:val="00DF71C9"/>
    <w:rsid w:val="00DF7A60"/>
    <w:rsid w:val="00DF7D97"/>
    <w:rsid w:val="00E01138"/>
    <w:rsid w:val="00E02DFB"/>
    <w:rsid w:val="00E030F9"/>
    <w:rsid w:val="00E0311A"/>
    <w:rsid w:val="00E03138"/>
    <w:rsid w:val="00E036A8"/>
    <w:rsid w:val="00E06404"/>
    <w:rsid w:val="00E07D2D"/>
    <w:rsid w:val="00E10C64"/>
    <w:rsid w:val="00E115D0"/>
    <w:rsid w:val="00E11A85"/>
    <w:rsid w:val="00E12495"/>
    <w:rsid w:val="00E15CCD"/>
    <w:rsid w:val="00E1662D"/>
    <w:rsid w:val="00E202EF"/>
    <w:rsid w:val="00E210B5"/>
    <w:rsid w:val="00E2122D"/>
    <w:rsid w:val="00E2430A"/>
    <w:rsid w:val="00E2552F"/>
    <w:rsid w:val="00E275C3"/>
    <w:rsid w:val="00E3137A"/>
    <w:rsid w:val="00E3236D"/>
    <w:rsid w:val="00E32CCF"/>
    <w:rsid w:val="00E34A98"/>
    <w:rsid w:val="00E34C5B"/>
    <w:rsid w:val="00E35D1E"/>
    <w:rsid w:val="00E364F9"/>
    <w:rsid w:val="00E365FA"/>
    <w:rsid w:val="00E36789"/>
    <w:rsid w:val="00E4075A"/>
    <w:rsid w:val="00E41061"/>
    <w:rsid w:val="00E422EF"/>
    <w:rsid w:val="00E44A83"/>
    <w:rsid w:val="00E502C1"/>
    <w:rsid w:val="00E502DD"/>
    <w:rsid w:val="00E50D3A"/>
    <w:rsid w:val="00E50F97"/>
    <w:rsid w:val="00E51387"/>
    <w:rsid w:val="00E51E68"/>
    <w:rsid w:val="00E52EFD"/>
    <w:rsid w:val="00E5408A"/>
    <w:rsid w:val="00E54714"/>
    <w:rsid w:val="00E56800"/>
    <w:rsid w:val="00E5715F"/>
    <w:rsid w:val="00E60C63"/>
    <w:rsid w:val="00E61F5F"/>
    <w:rsid w:val="00E62FF9"/>
    <w:rsid w:val="00E6302C"/>
    <w:rsid w:val="00E635D6"/>
    <w:rsid w:val="00E639BC"/>
    <w:rsid w:val="00E64990"/>
    <w:rsid w:val="00E64AC4"/>
    <w:rsid w:val="00E64B71"/>
    <w:rsid w:val="00E66176"/>
    <w:rsid w:val="00E664CC"/>
    <w:rsid w:val="00E6673B"/>
    <w:rsid w:val="00E66EFF"/>
    <w:rsid w:val="00E70388"/>
    <w:rsid w:val="00E70F92"/>
    <w:rsid w:val="00E73114"/>
    <w:rsid w:val="00E742B8"/>
    <w:rsid w:val="00E74313"/>
    <w:rsid w:val="00E74C54"/>
    <w:rsid w:val="00E77A03"/>
    <w:rsid w:val="00E77BE8"/>
    <w:rsid w:val="00E809C9"/>
    <w:rsid w:val="00E810CF"/>
    <w:rsid w:val="00E822E8"/>
    <w:rsid w:val="00E82554"/>
    <w:rsid w:val="00E82606"/>
    <w:rsid w:val="00E831C1"/>
    <w:rsid w:val="00E84252"/>
    <w:rsid w:val="00E846C8"/>
    <w:rsid w:val="00E84957"/>
    <w:rsid w:val="00E84A55"/>
    <w:rsid w:val="00E85BFF"/>
    <w:rsid w:val="00E862F9"/>
    <w:rsid w:val="00E8707E"/>
    <w:rsid w:val="00E87AAD"/>
    <w:rsid w:val="00E87DA5"/>
    <w:rsid w:val="00E87FA4"/>
    <w:rsid w:val="00E90391"/>
    <w:rsid w:val="00E906C2"/>
    <w:rsid w:val="00E9311F"/>
    <w:rsid w:val="00E934D1"/>
    <w:rsid w:val="00E94AF0"/>
    <w:rsid w:val="00E95293"/>
    <w:rsid w:val="00E95D13"/>
    <w:rsid w:val="00E95DD3"/>
    <w:rsid w:val="00E969D5"/>
    <w:rsid w:val="00EA02B5"/>
    <w:rsid w:val="00EA4ED3"/>
    <w:rsid w:val="00EA5786"/>
    <w:rsid w:val="00EA58D1"/>
    <w:rsid w:val="00EA61BC"/>
    <w:rsid w:val="00EA664B"/>
    <w:rsid w:val="00EA681A"/>
    <w:rsid w:val="00EA735B"/>
    <w:rsid w:val="00EA737D"/>
    <w:rsid w:val="00EA763C"/>
    <w:rsid w:val="00EB1E69"/>
    <w:rsid w:val="00EB2086"/>
    <w:rsid w:val="00EB31ED"/>
    <w:rsid w:val="00EB4578"/>
    <w:rsid w:val="00EB4971"/>
    <w:rsid w:val="00EB5EDF"/>
    <w:rsid w:val="00EB60FE"/>
    <w:rsid w:val="00EB68F8"/>
    <w:rsid w:val="00EB74DB"/>
    <w:rsid w:val="00EC08BF"/>
    <w:rsid w:val="00EC1790"/>
    <w:rsid w:val="00EC2AA5"/>
    <w:rsid w:val="00EC5359"/>
    <w:rsid w:val="00EC562A"/>
    <w:rsid w:val="00EC6A5D"/>
    <w:rsid w:val="00ED067A"/>
    <w:rsid w:val="00ED0E50"/>
    <w:rsid w:val="00ED1EBF"/>
    <w:rsid w:val="00ED2B50"/>
    <w:rsid w:val="00ED439C"/>
    <w:rsid w:val="00ED459B"/>
    <w:rsid w:val="00ED482C"/>
    <w:rsid w:val="00ED566A"/>
    <w:rsid w:val="00ED5779"/>
    <w:rsid w:val="00ED6BFD"/>
    <w:rsid w:val="00EE0350"/>
    <w:rsid w:val="00EE0719"/>
    <w:rsid w:val="00EE0A68"/>
    <w:rsid w:val="00EE0E80"/>
    <w:rsid w:val="00EE2487"/>
    <w:rsid w:val="00EE530F"/>
    <w:rsid w:val="00EE56BD"/>
    <w:rsid w:val="00EE613F"/>
    <w:rsid w:val="00EE7295"/>
    <w:rsid w:val="00EE7869"/>
    <w:rsid w:val="00EE7C92"/>
    <w:rsid w:val="00EF054A"/>
    <w:rsid w:val="00EF3235"/>
    <w:rsid w:val="00EF449B"/>
    <w:rsid w:val="00EF4C22"/>
    <w:rsid w:val="00EF7E72"/>
    <w:rsid w:val="00F062D1"/>
    <w:rsid w:val="00F06D37"/>
    <w:rsid w:val="00F07B9D"/>
    <w:rsid w:val="00F10992"/>
    <w:rsid w:val="00F11586"/>
    <w:rsid w:val="00F11774"/>
    <w:rsid w:val="00F1183B"/>
    <w:rsid w:val="00F11C9F"/>
    <w:rsid w:val="00F12263"/>
    <w:rsid w:val="00F12CB1"/>
    <w:rsid w:val="00F1409D"/>
    <w:rsid w:val="00F14214"/>
    <w:rsid w:val="00F14928"/>
    <w:rsid w:val="00F14D87"/>
    <w:rsid w:val="00F14F20"/>
    <w:rsid w:val="00F153B5"/>
    <w:rsid w:val="00F157A9"/>
    <w:rsid w:val="00F16F00"/>
    <w:rsid w:val="00F20AA9"/>
    <w:rsid w:val="00F20AE0"/>
    <w:rsid w:val="00F25766"/>
    <w:rsid w:val="00F25BB6"/>
    <w:rsid w:val="00F26B7E"/>
    <w:rsid w:val="00F27A3B"/>
    <w:rsid w:val="00F3217F"/>
    <w:rsid w:val="00F331BC"/>
    <w:rsid w:val="00F33817"/>
    <w:rsid w:val="00F34A06"/>
    <w:rsid w:val="00F36DCC"/>
    <w:rsid w:val="00F40017"/>
    <w:rsid w:val="00F40ADE"/>
    <w:rsid w:val="00F412A3"/>
    <w:rsid w:val="00F420D5"/>
    <w:rsid w:val="00F427A5"/>
    <w:rsid w:val="00F4360D"/>
    <w:rsid w:val="00F436C1"/>
    <w:rsid w:val="00F438B7"/>
    <w:rsid w:val="00F451EA"/>
    <w:rsid w:val="00F45447"/>
    <w:rsid w:val="00F456C6"/>
    <w:rsid w:val="00F4577B"/>
    <w:rsid w:val="00F46496"/>
    <w:rsid w:val="00F474D0"/>
    <w:rsid w:val="00F47CE5"/>
    <w:rsid w:val="00F50179"/>
    <w:rsid w:val="00F506B2"/>
    <w:rsid w:val="00F515EE"/>
    <w:rsid w:val="00F517E3"/>
    <w:rsid w:val="00F52C10"/>
    <w:rsid w:val="00F537D7"/>
    <w:rsid w:val="00F55974"/>
    <w:rsid w:val="00F56511"/>
    <w:rsid w:val="00F56CDD"/>
    <w:rsid w:val="00F6194E"/>
    <w:rsid w:val="00F61C03"/>
    <w:rsid w:val="00F621C0"/>
    <w:rsid w:val="00F623AC"/>
    <w:rsid w:val="00F6412A"/>
    <w:rsid w:val="00F65893"/>
    <w:rsid w:val="00F662AF"/>
    <w:rsid w:val="00F66A4A"/>
    <w:rsid w:val="00F66BEA"/>
    <w:rsid w:val="00F67BC8"/>
    <w:rsid w:val="00F67D74"/>
    <w:rsid w:val="00F71E22"/>
    <w:rsid w:val="00F72142"/>
    <w:rsid w:val="00F72AB0"/>
    <w:rsid w:val="00F72AE7"/>
    <w:rsid w:val="00F7378E"/>
    <w:rsid w:val="00F7409B"/>
    <w:rsid w:val="00F767DE"/>
    <w:rsid w:val="00F76E82"/>
    <w:rsid w:val="00F80778"/>
    <w:rsid w:val="00F818CA"/>
    <w:rsid w:val="00F833BA"/>
    <w:rsid w:val="00F83951"/>
    <w:rsid w:val="00F84FD0"/>
    <w:rsid w:val="00F859A8"/>
    <w:rsid w:val="00F86D87"/>
    <w:rsid w:val="00F87944"/>
    <w:rsid w:val="00F9108B"/>
    <w:rsid w:val="00F91349"/>
    <w:rsid w:val="00F9160A"/>
    <w:rsid w:val="00F91F1F"/>
    <w:rsid w:val="00F93A80"/>
    <w:rsid w:val="00F93A8A"/>
    <w:rsid w:val="00F95248"/>
    <w:rsid w:val="00F956A9"/>
    <w:rsid w:val="00F95974"/>
    <w:rsid w:val="00F95A6D"/>
    <w:rsid w:val="00F963ED"/>
    <w:rsid w:val="00F966CF"/>
    <w:rsid w:val="00F96CAE"/>
    <w:rsid w:val="00F97649"/>
    <w:rsid w:val="00F97C99"/>
    <w:rsid w:val="00FA34C9"/>
    <w:rsid w:val="00FA4B28"/>
    <w:rsid w:val="00FA4C1D"/>
    <w:rsid w:val="00FA4C31"/>
    <w:rsid w:val="00FA5BAC"/>
    <w:rsid w:val="00FA662D"/>
    <w:rsid w:val="00FA73B1"/>
    <w:rsid w:val="00FA77C1"/>
    <w:rsid w:val="00FB0CB9"/>
    <w:rsid w:val="00FB0EE3"/>
    <w:rsid w:val="00FB231D"/>
    <w:rsid w:val="00FB3CF2"/>
    <w:rsid w:val="00FB45F1"/>
    <w:rsid w:val="00FB4A72"/>
    <w:rsid w:val="00FB54E8"/>
    <w:rsid w:val="00FB626B"/>
    <w:rsid w:val="00FB7054"/>
    <w:rsid w:val="00FC1364"/>
    <w:rsid w:val="00FC17B7"/>
    <w:rsid w:val="00FC1D20"/>
    <w:rsid w:val="00FC2CB7"/>
    <w:rsid w:val="00FC34CF"/>
    <w:rsid w:val="00FC4090"/>
    <w:rsid w:val="00FC4905"/>
    <w:rsid w:val="00FC55B4"/>
    <w:rsid w:val="00FC6D85"/>
    <w:rsid w:val="00FC78E6"/>
    <w:rsid w:val="00FD00E6"/>
    <w:rsid w:val="00FD09A1"/>
    <w:rsid w:val="00FD2A7C"/>
    <w:rsid w:val="00FD5341"/>
    <w:rsid w:val="00FD59EB"/>
    <w:rsid w:val="00FD5C24"/>
    <w:rsid w:val="00FD5DC8"/>
    <w:rsid w:val="00FD7299"/>
    <w:rsid w:val="00FE1FBE"/>
    <w:rsid w:val="00FE3901"/>
    <w:rsid w:val="00FE39D3"/>
    <w:rsid w:val="00FE3C7E"/>
    <w:rsid w:val="00FE437E"/>
    <w:rsid w:val="00FE49D8"/>
    <w:rsid w:val="00FE4BCE"/>
    <w:rsid w:val="00FE54AE"/>
    <w:rsid w:val="00FE576A"/>
    <w:rsid w:val="00FE5985"/>
    <w:rsid w:val="00FE6C2D"/>
    <w:rsid w:val="00FE7E79"/>
    <w:rsid w:val="00FF0EDC"/>
    <w:rsid w:val="00FF32C4"/>
    <w:rsid w:val="00FF3E7D"/>
    <w:rsid w:val="00FF4D18"/>
    <w:rsid w:val="00FF542A"/>
    <w:rsid w:val="00FF5AC3"/>
    <w:rsid w:val="00FF5B99"/>
    <w:rsid w:val="00FF5C0D"/>
    <w:rsid w:val="00FF6C1D"/>
    <w:rsid w:val="00FF6F5C"/>
    <w:rsid w:val="00FF730C"/>
    <w:rsid w:val="00FF73F4"/>
    <w:rsid w:val="00FF7CE4"/>
    <w:rsid w:val="00FF7E39"/>
    <w:rsid w:val="00FF7E82"/>
    <w:rsid w:val="021548D2"/>
    <w:rsid w:val="066F3A21"/>
    <w:rsid w:val="09E75653"/>
    <w:rsid w:val="0BBB294D"/>
    <w:rsid w:val="0E091421"/>
    <w:rsid w:val="0E9E5984"/>
    <w:rsid w:val="13CD3ADC"/>
    <w:rsid w:val="20AC4ABE"/>
    <w:rsid w:val="252C08C4"/>
    <w:rsid w:val="26FD3D8F"/>
    <w:rsid w:val="28B1278B"/>
    <w:rsid w:val="2CAC1598"/>
    <w:rsid w:val="2D6706EB"/>
    <w:rsid w:val="2E1800B5"/>
    <w:rsid w:val="31105BB4"/>
    <w:rsid w:val="3246295D"/>
    <w:rsid w:val="32941367"/>
    <w:rsid w:val="342A63AC"/>
    <w:rsid w:val="35206425"/>
    <w:rsid w:val="37C560D5"/>
    <w:rsid w:val="41425CF4"/>
    <w:rsid w:val="43D440E7"/>
    <w:rsid w:val="451C1963"/>
    <w:rsid w:val="4A211196"/>
    <w:rsid w:val="4CDC0A06"/>
    <w:rsid w:val="50615972"/>
    <w:rsid w:val="52D518B2"/>
    <w:rsid w:val="53AA68E7"/>
    <w:rsid w:val="53EB367D"/>
    <w:rsid w:val="560128E8"/>
    <w:rsid w:val="561106CD"/>
    <w:rsid w:val="57F20A7F"/>
    <w:rsid w:val="5B763247"/>
    <w:rsid w:val="6416251F"/>
    <w:rsid w:val="64220523"/>
    <w:rsid w:val="681279D3"/>
    <w:rsid w:val="68720AC0"/>
    <w:rsid w:val="6A31161D"/>
    <w:rsid w:val="6C265015"/>
    <w:rsid w:val="6DFC23CC"/>
    <w:rsid w:val="700C5E73"/>
    <w:rsid w:val="7012436D"/>
    <w:rsid w:val="74332EEB"/>
    <w:rsid w:val="75BF3730"/>
    <w:rsid w:val="76DC5B15"/>
    <w:rsid w:val="7C860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8"/>
    <w:qFormat/>
    <w:uiPriority w:val="99"/>
    <w:rPr>
      <w:rFonts w:ascii="Times New Roman" w:hAnsi="Times New Roman" w:eastAsia="宋体" w:cs="Times New Roman"/>
      <w:sz w:val="18"/>
      <w:szCs w:val="18"/>
    </w:rPr>
  </w:style>
  <w:style w:type="character" w:customStyle="1" w:styleId="45">
    <w:name w:val="页脚 Char"/>
    <w:link w:val="17"/>
    <w:qFormat/>
    <w:uiPriority w:val="99"/>
    <w:rPr>
      <w:rFonts w:ascii="宋体" w:hAnsi="Times New Roman" w:eastAsia="宋体" w:cs="Times New Roman"/>
      <w:sz w:val="18"/>
      <w:szCs w:val="18"/>
    </w:rPr>
  </w:style>
  <w:style w:type="character" w:customStyle="1" w:styleId="46">
    <w:name w:val="批注框文本 Char"/>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link w:val="231"/>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标准文件_标准正文 Char"/>
    <w:link w:val="56"/>
    <w:qFormat/>
    <w:uiPriority w:val="0"/>
    <w:rPr>
      <w:kern w:val="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jpe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5FEFE4118E3471F9F03C2282CADD19C"/>
        <w:style w:val=""/>
        <w:category>
          <w:name w:val="常规"/>
          <w:gallery w:val="placeholder"/>
        </w:category>
        <w:types>
          <w:type w:val="bbPlcHdr"/>
        </w:types>
        <w:behaviors>
          <w:behavior w:val="content"/>
        </w:behaviors>
        <w:description w:val=""/>
        <w:guid w:val="{7590829E-7F7A-409C-AA2B-43E6E0DA8FA6}"/>
      </w:docPartPr>
      <w:docPartBody>
        <w:p w14:paraId="18595CE7">
          <w:pPr>
            <w:pStyle w:val="5"/>
          </w:pPr>
          <w:r>
            <w:rPr>
              <w:rStyle w:val="4"/>
              <w:rFonts w:hint="eastAsia"/>
            </w:rPr>
            <w:t>单击或点击此处输入文字。</w:t>
          </w:r>
        </w:p>
      </w:docPartBody>
    </w:docPart>
    <w:docPart>
      <w:docPartPr>
        <w:name w:val="67EC63501C8D4598B5CC1F8A3E7EA150"/>
        <w:style w:val=""/>
        <w:category>
          <w:name w:val="常规"/>
          <w:gallery w:val="placeholder"/>
        </w:category>
        <w:types>
          <w:type w:val="bbPlcHdr"/>
        </w:types>
        <w:behaviors>
          <w:behavior w:val="content"/>
        </w:behaviors>
        <w:description w:val=""/>
        <w:guid w:val="{D0ECF1D2-09D1-4C17-90C7-53D993370AA5}"/>
      </w:docPartPr>
      <w:docPartBody>
        <w:p w14:paraId="63F14250">
          <w:pPr>
            <w:pStyle w:val="6"/>
          </w:pPr>
          <w:r>
            <w:rPr>
              <w:rStyle w:val="4"/>
              <w:rFonts w:hint="eastAsia"/>
            </w:rPr>
            <w:t>选择一项。</w:t>
          </w:r>
        </w:p>
      </w:docPartBody>
    </w:docPart>
    <w:docPart>
      <w:docPartPr>
        <w:name w:val="054A2170A07A4917818C18673576E152"/>
        <w:style w:val=""/>
        <w:category>
          <w:name w:val="常规"/>
          <w:gallery w:val="placeholder"/>
        </w:category>
        <w:types>
          <w:type w:val="bbPlcHdr"/>
        </w:types>
        <w:behaviors>
          <w:behavior w:val="content"/>
        </w:behaviors>
        <w:description w:val=""/>
        <w:guid w:val="{ED2E1CC6-F506-46D0-AA3A-E24206CE9351}"/>
      </w:docPartPr>
      <w:docPartBody>
        <w:p w14:paraId="7C8A2B8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506"/>
    <w:rsid w:val="000416A9"/>
    <w:rsid w:val="000551CA"/>
    <w:rsid w:val="00141716"/>
    <w:rsid w:val="001A2FE5"/>
    <w:rsid w:val="001C3D41"/>
    <w:rsid w:val="001F4EBE"/>
    <w:rsid w:val="0021764E"/>
    <w:rsid w:val="00245770"/>
    <w:rsid w:val="0030711F"/>
    <w:rsid w:val="00350161"/>
    <w:rsid w:val="003547EF"/>
    <w:rsid w:val="003F6A48"/>
    <w:rsid w:val="004144D9"/>
    <w:rsid w:val="00426F54"/>
    <w:rsid w:val="00433CAC"/>
    <w:rsid w:val="00451E36"/>
    <w:rsid w:val="004859EA"/>
    <w:rsid w:val="00486A2D"/>
    <w:rsid w:val="005841A4"/>
    <w:rsid w:val="00593D0B"/>
    <w:rsid w:val="005E40FF"/>
    <w:rsid w:val="00631E4D"/>
    <w:rsid w:val="00686058"/>
    <w:rsid w:val="00686139"/>
    <w:rsid w:val="006D3D32"/>
    <w:rsid w:val="006F617A"/>
    <w:rsid w:val="0072443A"/>
    <w:rsid w:val="00756A04"/>
    <w:rsid w:val="007B08E8"/>
    <w:rsid w:val="00816B4F"/>
    <w:rsid w:val="00867C05"/>
    <w:rsid w:val="00892FE5"/>
    <w:rsid w:val="008A0CB0"/>
    <w:rsid w:val="008C1C6A"/>
    <w:rsid w:val="009348DD"/>
    <w:rsid w:val="009E47D3"/>
    <w:rsid w:val="00A852AE"/>
    <w:rsid w:val="00B04B53"/>
    <w:rsid w:val="00B42BF7"/>
    <w:rsid w:val="00B93C7C"/>
    <w:rsid w:val="00BA306F"/>
    <w:rsid w:val="00BE7588"/>
    <w:rsid w:val="00BF18EF"/>
    <w:rsid w:val="00CD0BC1"/>
    <w:rsid w:val="00CE4D44"/>
    <w:rsid w:val="00D41506"/>
    <w:rsid w:val="00DA171F"/>
    <w:rsid w:val="00E5671C"/>
    <w:rsid w:val="00EA5F62"/>
    <w:rsid w:val="00F46246"/>
    <w:rsid w:val="00FE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5FEFE4118E3471F9F03C2282CADD19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7EC63501C8D4598B5CC1F8A3E7EA1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54A2170A07A4917818C18673576E15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0C540-7696-404B-9A98-96760D14108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3957</Words>
  <Characters>4441</Characters>
  <Lines>51</Lines>
  <Paragraphs>14</Paragraphs>
  <TotalTime>1552</TotalTime>
  <ScaleCrop>false</ScaleCrop>
  <LinksUpToDate>false</LinksUpToDate>
  <CharactersWithSpaces>4606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2024-09-23T07:43:00Z</dcterms:created>
  <dc:creator>Microsoft</dc:creator>
  <dc:description>&lt;config cover="true" show_menu="true" version="1.0.0" doctype="SDKXY"&gt;_x000d_
&lt;/config&gt;</dc:description>
  <cp:lastModifiedBy>海山</cp:lastModifiedBy>
  <cp:lastPrinted>2025-10-10T08:13:00Z</cp:lastPrinted>
  <dcterms:modified xsi:type="dcterms:W3CDTF">2025-10-28T06:58:38Z</dcterms:modified>
  <dc:title>团体标准</dc:title>
  <cp:revision>2964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6BF78629366144C88EBE43DE722A5A69_13</vt:lpwstr>
  </property>
  <property fmtid="{D5CDD505-2E9C-101B-9397-08002B2CF9AE}" pid="16" name="DoublePage">
    <vt:lpwstr>false</vt:lpwstr>
  </property>
  <property fmtid="{D5CDD505-2E9C-101B-9397-08002B2CF9AE}" pid="17" name="KSOTemplateDocerSaveRecord">
    <vt:lpwstr>eyJoZGlkIjoiZTczZTk3YTkxMDI0NTk4OGZjMmNiZTE5ODFhYTFkNjgiLCJ1c2VySWQiOiI0OTEzMTQ5NTMifQ==</vt:lpwstr>
  </property>
</Properties>
</file>