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D1AA2E">
      <w:pPr>
        <w:jc w:val="center"/>
        <w:rPr>
          <w:rFonts w:hint="eastAsia"/>
        </w:rPr>
      </w:pPr>
      <w:bookmarkStart w:id="0" w:name="_GoBack"/>
      <w:bookmarkEnd w:id="0"/>
    </w:p>
    <w:p w14:paraId="0E161B5F">
      <w:pPr>
        <w:jc w:val="center"/>
        <w:rPr>
          <w:rFonts w:hint="eastAsia"/>
        </w:rPr>
      </w:pPr>
    </w:p>
    <w:p w14:paraId="4165A681">
      <w:pPr>
        <w:jc w:val="center"/>
        <w:rPr>
          <w:rFonts w:hint="eastAsia"/>
        </w:rPr>
      </w:pPr>
    </w:p>
    <w:p w14:paraId="41301B36">
      <w:pPr>
        <w:jc w:val="center"/>
        <w:rPr>
          <w:rFonts w:hint="eastAsia"/>
        </w:rPr>
      </w:pPr>
    </w:p>
    <w:p w14:paraId="4A4B1DF7">
      <w:pPr>
        <w:jc w:val="center"/>
        <w:rPr>
          <w:rFonts w:hint="eastAsia"/>
        </w:rPr>
      </w:pPr>
    </w:p>
    <w:p w14:paraId="73B23C5B">
      <w:pPr>
        <w:jc w:val="center"/>
        <w:rPr>
          <w:rFonts w:hint="eastAsia"/>
        </w:rPr>
      </w:pPr>
    </w:p>
    <w:p w14:paraId="3FEA41A0">
      <w:pPr>
        <w:jc w:val="center"/>
        <w:rPr>
          <w:rFonts w:hint="eastAsia"/>
        </w:rPr>
      </w:pPr>
    </w:p>
    <w:p w14:paraId="58005990">
      <w:pPr>
        <w:jc w:val="center"/>
        <w:rPr>
          <w:rFonts w:hint="eastAsia"/>
        </w:rPr>
      </w:pPr>
    </w:p>
    <w:p w14:paraId="2177331D">
      <w:pPr>
        <w:jc w:val="center"/>
      </w:pPr>
    </w:p>
    <w:p w14:paraId="3C3BF182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《自动化收集公开数据通用规范》</w:t>
      </w:r>
      <w:r>
        <w:rPr>
          <w:rFonts w:hint="eastAsia"/>
          <w:sz w:val="44"/>
          <w:szCs w:val="44"/>
          <w:lang w:eastAsia="zh-CN"/>
        </w:rPr>
        <w:t>团体</w:t>
      </w:r>
      <w:r>
        <w:rPr>
          <w:rFonts w:hint="eastAsia"/>
          <w:sz w:val="44"/>
          <w:szCs w:val="44"/>
        </w:rPr>
        <w:t>标准</w:t>
      </w:r>
    </w:p>
    <w:p w14:paraId="20A8C58F">
      <w:pPr>
        <w:jc w:val="center"/>
        <w:rPr>
          <w:rFonts w:hint="eastAsia"/>
          <w:sz w:val="44"/>
          <w:szCs w:val="44"/>
        </w:rPr>
      </w:pPr>
    </w:p>
    <w:p w14:paraId="4A8166FA">
      <w:pPr>
        <w:jc w:val="center"/>
        <w:rPr>
          <w:rFonts w:hint="eastAsia"/>
          <w:sz w:val="44"/>
          <w:szCs w:val="44"/>
        </w:rPr>
      </w:pPr>
      <w:r>
        <w:rPr>
          <w:rFonts w:hint="eastAsia"/>
          <w:sz w:val="44"/>
          <w:szCs w:val="44"/>
        </w:rPr>
        <w:t>编制说明</w:t>
      </w:r>
    </w:p>
    <w:p w14:paraId="6B33E110">
      <w:pPr>
        <w:jc w:val="center"/>
        <w:rPr>
          <w:rFonts w:hint="eastAsia"/>
          <w:sz w:val="44"/>
          <w:szCs w:val="44"/>
        </w:rPr>
      </w:pPr>
    </w:p>
    <w:p w14:paraId="7BCF6815">
      <w:pPr>
        <w:jc w:val="center"/>
        <w:rPr>
          <w:rFonts w:hint="eastAsia"/>
        </w:rPr>
      </w:pPr>
    </w:p>
    <w:p w14:paraId="65FFDDD0">
      <w:pPr>
        <w:jc w:val="center"/>
        <w:rPr>
          <w:rFonts w:hint="eastAsia"/>
        </w:rPr>
      </w:pPr>
    </w:p>
    <w:p w14:paraId="68B37CAF">
      <w:pPr>
        <w:jc w:val="center"/>
        <w:rPr>
          <w:rFonts w:hint="eastAsia"/>
        </w:rPr>
      </w:pPr>
    </w:p>
    <w:p w14:paraId="42E36C80">
      <w:pPr>
        <w:jc w:val="center"/>
        <w:rPr>
          <w:rFonts w:hint="eastAsia"/>
        </w:rPr>
      </w:pPr>
    </w:p>
    <w:p w14:paraId="1E9AE650">
      <w:pPr>
        <w:jc w:val="center"/>
        <w:rPr>
          <w:rFonts w:hint="eastAsia"/>
        </w:rPr>
      </w:pPr>
    </w:p>
    <w:p w14:paraId="26517C8C">
      <w:pPr>
        <w:jc w:val="center"/>
        <w:rPr>
          <w:rFonts w:hint="eastAsia"/>
        </w:rPr>
      </w:pPr>
    </w:p>
    <w:p w14:paraId="6B31DE5A">
      <w:pPr>
        <w:jc w:val="center"/>
        <w:rPr>
          <w:rFonts w:hint="eastAsia"/>
        </w:rPr>
      </w:pPr>
    </w:p>
    <w:p w14:paraId="53DED1DF">
      <w:pPr>
        <w:jc w:val="center"/>
        <w:rPr>
          <w:rFonts w:hint="eastAsia"/>
        </w:rPr>
      </w:pPr>
    </w:p>
    <w:p w14:paraId="7C05FA47">
      <w:pPr>
        <w:jc w:val="center"/>
        <w:rPr>
          <w:rFonts w:hint="eastAsia"/>
        </w:rPr>
      </w:pPr>
    </w:p>
    <w:p w14:paraId="7F3E34B6">
      <w:pPr>
        <w:jc w:val="center"/>
        <w:rPr>
          <w:rFonts w:hint="eastAsia"/>
        </w:rPr>
      </w:pPr>
    </w:p>
    <w:p w14:paraId="39E87A22">
      <w:pPr>
        <w:jc w:val="center"/>
        <w:rPr>
          <w:rFonts w:hint="eastAsia"/>
        </w:rPr>
      </w:pPr>
    </w:p>
    <w:p w14:paraId="30FEA0BE">
      <w:pPr>
        <w:jc w:val="center"/>
        <w:rPr>
          <w:rFonts w:hint="eastAsia"/>
        </w:rPr>
      </w:pPr>
    </w:p>
    <w:p w14:paraId="4EA423EA">
      <w:pPr>
        <w:jc w:val="center"/>
        <w:rPr>
          <w:rFonts w:hint="eastAsia"/>
        </w:rPr>
      </w:pPr>
    </w:p>
    <w:p w14:paraId="4FE98DBA">
      <w:pPr>
        <w:jc w:val="center"/>
        <w:rPr>
          <w:rFonts w:hint="eastAsia"/>
        </w:rPr>
      </w:pPr>
    </w:p>
    <w:p w14:paraId="2C227B0C">
      <w:pPr>
        <w:jc w:val="center"/>
        <w:rPr>
          <w:rFonts w:hint="eastAsia"/>
        </w:rPr>
      </w:pPr>
    </w:p>
    <w:p w14:paraId="5D822213">
      <w:pPr>
        <w:jc w:val="center"/>
        <w:rPr>
          <w:rFonts w:hint="eastAsia"/>
        </w:rPr>
      </w:pPr>
    </w:p>
    <w:p w14:paraId="11138CD6">
      <w:pPr>
        <w:jc w:val="center"/>
        <w:rPr>
          <w:rFonts w:hint="eastAsia"/>
        </w:rPr>
      </w:pPr>
    </w:p>
    <w:p w14:paraId="2C16804A">
      <w:pPr>
        <w:jc w:val="center"/>
        <w:rPr>
          <w:rFonts w:hint="eastAsia"/>
        </w:rPr>
      </w:pPr>
    </w:p>
    <w:p w14:paraId="045C28A4">
      <w:pPr>
        <w:jc w:val="center"/>
        <w:rPr>
          <w:rFonts w:hint="eastAsia"/>
        </w:rPr>
      </w:pPr>
    </w:p>
    <w:p w14:paraId="398CEBBD">
      <w:pPr>
        <w:jc w:val="center"/>
        <w:rPr>
          <w:rFonts w:hint="eastAsia"/>
        </w:rPr>
      </w:pPr>
    </w:p>
    <w:p w14:paraId="58CED581">
      <w:pPr>
        <w:jc w:val="center"/>
        <w:rPr>
          <w:rFonts w:hint="eastAsia"/>
        </w:rPr>
      </w:pPr>
    </w:p>
    <w:p w14:paraId="0F6FE8E9">
      <w:pPr>
        <w:jc w:val="center"/>
        <w:rPr>
          <w:rFonts w:hint="eastAsia"/>
        </w:rPr>
      </w:pPr>
    </w:p>
    <w:p w14:paraId="6522CF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</w:p>
    <w:p w14:paraId="3A4E978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</w:p>
    <w:p w14:paraId="69CD399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</w:p>
    <w:p w14:paraId="73BEE64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/>
        </w:rPr>
      </w:pPr>
    </w:p>
    <w:p w14:paraId="454874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</w:pPr>
    </w:p>
    <w:p w14:paraId="19728E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一、 编制背景与目的</w:t>
      </w:r>
    </w:p>
    <w:p w14:paraId="1A10075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随着数字经济时代的深入发展，数据已成为关键生产要素。政府部门、事业单位及各类企业利用自动化技术（如网络爬虫、API接口调用）收集互联网及各类平台上的公开数据，已成为支持公共决策、学术研究、产业分析和社会服务的重要手段。然而，在实践过程中，由于缺乏统一的技术和行为规范，自动化数据收集活动存在诸多乱象与风险：一是收集行为本身可能对数据源网站造成干扰，甚至引发法律纠纷；二是对收集到的数据，特别是包含个人信息的数据，处理不当易侵犯个人隐私；三是数据收集后的管理、使用和共享环节缺乏规范，可能导致数据滥用和安全风险。</w:t>
      </w:r>
    </w:p>
    <w:p w14:paraId="66E585D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为规范自动化数据收集行为，平衡数据开发利用与安全保护之间的关系，促进数据要素健康有序流动，依据《中华人民共和国数据安全法》《中华人民共和国个人信息保护法》等上位法，特制定本团体标准。本标准旨在为相关组织提供一套合法、安全、可控、负责任的自动化收集公开数据的通用准则，助力数据产业高质量发展。</w:t>
      </w:r>
    </w:p>
    <w:p w14:paraId="3D08F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二、 编制过程</w:t>
      </w:r>
    </w:p>
    <w:p w14:paraId="03C2F4E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本标准由大连</w:t>
      </w:r>
      <w:r>
        <w:rPr>
          <w:rFonts w:hint="eastAsia"/>
          <w:sz w:val="28"/>
          <w:szCs w:val="28"/>
          <w:lang w:val="en-US" w:eastAsia="zh-CN"/>
        </w:rPr>
        <w:t>市</w:t>
      </w:r>
      <w:r>
        <w:rPr>
          <w:rFonts w:hint="eastAsia"/>
          <w:sz w:val="28"/>
          <w:szCs w:val="28"/>
          <w:lang w:eastAsia="zh-CN"/>
        </w:rPr>
        <w:t>标准化</w:t>
      </w:r>
      <w:r>
        <w:rPr>
          <w:rFonts w:hint="eastAsia"/>
          <w:sz w:val="28"/>
          <w:szCs w:val="28"/>
        </w:rPr>
        <w:t>协会提出并归口，大连</w:t>
      </w:r>
      <w:r>
        <w:rPr>
          <w:rFonts w:hint="eastAsia"/>
          <w:sz w:val="28"/>
          <w:szCs w:val="28"/>
          <w:lang w:val="en-US" w:eastAsia="zh-CN"/>
        </w:rPr>
        <w:t>市甘井子区</w:t>
      </w:r>
      <w:r>
        <w:rPr>
          <w:rFonts w:hint="eastAsia"/>
          <w:sz w:val="28"/>
          <w:szCs w:val="28"/>
        </w:rPr>
        <w:t>数据局、大连标准</w:t>
      </w:r>
      <w:r>
        <w:rPr>
          <w:rFonts w:hint="eastAsia"/>
          <w:sz w:val="28"/>
          <w:szCs w:val="28"/>
          <w:lang w:val="en-US" w:eastAsia="zh-CN"/>
        </w:rPr>
        <w:t>认证</w:t>
      </w:r>
      <w:r>
        <w:rPr>
          <w:rFonts w:hint="eastAsia"/>
          <w:sz w:val="28"/>
          <w:szCs w:val="28"/>
        </w:rPr>
        <w:t>研究院</w:t>
      </w:r>
      <w:r>
        <w:rPr>
          <w:rFonts w:hint="eastAsia"/>
          <w:sz w:val="28"/>
          <w:szCs w:val="28"/>
          <w:lang w:val="en-US" w:eastAsia="zh-CN"/>
        </w:rPr>
        <w:t>有限公司</w:t>
      </w:r>
      <w:r>
        <w:rPr>
          <w:rFonts w:hint="eastAsia"/>
          <w:sz w:val="28"/>
          <w:szCs w:val="28"/>
        </w:rPr>
        <w:t>、高校科研机构及行业代表企业共同成立标准起草组。编制过程主要分为以下阶段：</w:t>
      </w:r>
    </w:p>
    <w:p w14:paraId="35A8B16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1. 预研与立项阶段： 起草组广泛调研了国内自动化数据收集的技术现状、法律法规、政策要求以及行业最佳实践，分析了存在的共性问题与需求，确定了标准制定的必要性和可行性，完成了立项论证。</w:t>
      </w:r>
    </w:p>
    <w:p w14:paraId="49BA4CE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2. 起草与研讨阶段： 在充分研究GB/T 35273、GB/T 37964等国家标准的基础上，结合大连市实际情况，形成了标准草案初稿。起草组内部多次召开研讨会，对标准的核心条款，如数据分类、技术要求、管理规范等进行了深入讨论和修改。</w:t>
      </w:r>
    </w:p>
    <w:p w14:paraId="4871D0D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3. 征求意见阶段： 将标准征求意见稿发送至协会各会员单位、相关政府部门及专家顾问广泛征求意见。 </w:t>
      </w:r>
    </w:p>
    <w:p w14:paraId="205F8C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审查与报批阶段： 根据征求意见进行修改完善，形成标准送审稿。由大连大数据协会组织专家评审会，专家组一致同意通过审查。起草组根据专家意见进行最终修改后，形成报批稿。</w:t>
      </w:r>
    </w:p>
    <w:p w14:paraId="5D8B500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三、 主要技术内容说明</w:t>
      </w:r>
    </w:p>
    <w:p w14:paraId="54E643C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</w:t>
      </w:r>
      <w:r>
        <w:rPr>
          <w:rFonts w:hint="eastAsia"/>
          <w:sz w:val="28"/>
          <w:szCs w:val="28"/>
          <w:lang w:val="en-US" w:eastAsia="zh-CN"/>
        </w:rPr>
        <w:t>1.范围：</w:t>
      </w:r>
      <w:r>
        <w:rPr>
          <w:rFonts w:hint="eastAsia"/>
          <w:sz w:val="28"/>
          <w:szCs w:val="28"/>
        </w:rPr>
        <w:t>本</w:t>
      </w:r>
      <w:r>
        <w:rPr>
          <w:rFonts w:hint="eastAsia"/>
          <w:sz w:val="28"/>
          <w:szCs w:val="28"/>
          <w:lang w:val="en-US" w:eastAsia="zh-CN"/>
        </w:rPr>
        <w:t>文件</w:t>
      </w:r>
      <w:r>
        <w:rPr>
          <w:rFonts w:hint="eastAsia"/>
          <w:sz w:val="28"/>
          <w:szCs w:val="28"/>
        </w:rPr>
        <w:t>主要包括利用自动化技术收集公开数据的基本原则、数据分类与收集、技术要求、</w:t>
      </w:r>
      <w:r>
        <w:rPr>
          <w:rFonts w:hint="eastAsia"/>
          <w:sz w:val="28"/>
          <w:szCs w:val="28"/>
          <w:lang w:val="en-US" w:eastAsia="zh-CN"/>
        </w:rPr>
        <w:t>数据安全、</w:t>
      </w:r>
      <w:r>
        <w:rPr>
          <w:rFonts w:hint="eastAsia"/>
          <w:sz w:val="28"/>
          <w:szCs w:val="28"/>
        </w:rPr>
        <w:t>数据管理及评价与改进。</w:t>
      </w:r>
    </w:p>
    <w:p w14:paraId="66A63F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2</w:t>
      </w:r>
      <w:r>
        <w:rPr>
          <w:rFonts w:hint="eastAsia"/>
          <w:sz w:val="28"/>
          <w:szCs w:val="28"/>
        </w:rPr>
        <w:t>.</w:t>
      </w:r>
      <w:r>
        <w:rPr>
          <w:rFonts w:hint="eastAsia"/>
          <w:sz w:val="28"/>
          <w:szCs w:val="28"/>
          <w:lang w:val="en-US" w:eastAsia="zh-CN"/>
        </w:rPr>
        <w:t>规范性引用文件：本部分列出了本文件正文引用的相关标准。</w:t>
      </w:r>
      <w:r>
        <w:rPr>
          <w:rFonts w:hint="eastAsia"/>
          <w:sz w:val="28"/>
          <w:szCs w:val="28"/>
        </w:rPr>
        <w:t xml:space="preserve"> </w:t>
      </w:r>
    </w:p>
    <w:p w14:paraId="105F81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  <w:lang w:val="en-US" w:eastAsia="zh-CN"/>
        </w:rPr>
        <w:t>3.术语和定义：本部分对本文件中使用的关键术语进行统一界定，包括但不限于“公开数据”“自动化采集”“Robots协议”等，确保标准理解与执行的一致性。</w:t>
      </w:r>
    </w:p>
    <w:p w14:paraId="2A7E26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4.</w:t>
      </w:r>
      <w:r>
        <w:rPr>
          <w:rFonts w:hint="eastAsia"/>
          <w:sz w:val="28"/>
          <w:szCs w:val="28"/>
        </w:rPr>
        <w:t>基本原则： 确立了合法合规、最小必要、安全可控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</w:rPr>
        <w:t>生态责任</w:t>
      </w:r>
      <w:r>
        <w:rPr>
          <w:rFonts w:hint="eastAsia"/>
          <w:sz w:val="28"/>
          <w:szCs w:val="28"/>
          <w:lang w:val="en-US" w:eastAsia="zh-CN"/>
        </w:rPr>
        <w:t>和善意访问五</w:t>
      </w:r>
      <w:r>
        <w:rPr>
          <w:rFonts w:hint="eastAsia"/>
          <w:sz w:val="28"/>
          <w:szCs w:val="28"/>
        </w:rPr>
        <w:t>大原则。其中，“生态责任原则” 是本次编制的重点，明确要求遵循Robots协议并将请求频率限制在10次/秒以内，旨在倡导“友好爬虫”理念，维护健康的网络生态，这是对法律法规要求的重要补充和细化。</w:t>
      </w:r>
    </w:p>
    <w:p w14:paraId="6859A4C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2. 数据分类与收集要求： 创新性地将公开数据按来源和风险等级分为A、B、C、D四类，并实施差异化管控。</w:t>
      </w:r>
    </w:p>
    <w:p w14:paraId="264BC7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A类（政府数据）： 鼓励通过官方API获取，强调规范性。</w:t>
      </w:r>
    </w:p>
    <w:p w14:paraId="1A4AFD7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B类（公共事业数据）： 强调遵守特定条款，并设置每日1万条的采集量建议上限，防止过度收集。</w:t>
      </w:r>
    </w:p>
    <w:p w14:paraId="06F323B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C类（互联网信息）： 风险最高，要求最为严格。强制要求对个人信息进行24小时内去标识化处理，并明确禁止收集社交媒体个人主页、医疗健康等敏感领域的公开信息，此举是对《个人信息保护法》关于“处理已公开个人信息”条款的谨慎落地。</w:t>
      </w:r>
    </w:p>
    <w:p w14:paraId="5CBB40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D类（专业数据库）： 强调“授权前置”，必须事先取得明确许可。</w:t>
      </w:r>
    </w:p>
    <w:p w14:paraId="0D42D55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此分类管理方法体现了风险导向、精准施策的思路。</w:t>
      </w:r>
    </w:p>
    <w:p w14:paraId="27DB9F7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3.</w:t>
      </w:r>
      <w:r>
        <w:rPr>
          <w:rFonts w:hint="eastAsia"/>
          <w:sz w:val="28"/>
          <w:szCs w:val="28"/>
        </w:rPr>
        <w:t xml:space="preserve">技术要求： </w:t>
      </w:r>
      <w:r>
        <w:rPr>
          <w:rFonts w:hint="eastAsia"/>
          <w:sz w:val="28"/>
          <w:szCs w:val="28"/>
          <w:lang w:val="en-US" w:eastAsia="zh-CN"/>
        </w:rPr>
        <w:t>本部分</w:t>
      </w:r>
      <w:r>
        <w:rPr>
          <w:rFonts w:hint="eastAsia"/>
          <w:sz w:val="28"/>
          <w:szCs w:val="28"/>
        </w:rPr>
        <w:t>规定了技术实现层面的合规细节。</w:t>
      </w:r>
      <w:r>
        <w:rPr>
          <w:rFonts w:hint="eastAsia"/>
          <w:sz w:val="28"/>
          <w:szCs w:val="28"/>
          <w:lang w:val="en-US" w:eastAsia="zh-CN"/>
        </w:rPr>
        <w:t>从自动化验证、个人信息处理、安全保障、合规性自我评估几个方面进行了规定</w:t>
      </w:r>
      <w:r>
        <w:rPr>
          <w:rFonts w:hint="eastAsia"/>
          <w:sz w:val="28"/>
          <w:szCs w:val="28"/>
        </w:rPr>
        <w:t>，将技术行为主体化、可追溯。</w:t>
      </w:r>
    </w:p>
    <w:p w14:paraId="4C0B403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default"/>
          <w:sz w:val="28"/>
          <w:szCs w:val="28"/>
          <w:lang w:val="en-US" w:eastAsia="zh-CN"/>
        </w:rPr>
      </w:pPr>
      <w:r>
        <w:rPr>
          <w:rFonts w:hint="eastAsia"/>
          <w:sz w:val="28"/>
          <w:szCs w:val="28"/>
        </w:rPr>
        <w:t xml:space="preserve">4. </w:t>
      </w:r>
      <w:r>
        <w:rPr>
          <w:rFonts w:hint="eastAsia"/>
          <w:sz w:val="28"/>
          <w:szCs w:val="28"/>
          <w:lang w:val="en-US" w:eastAsia="zh-CN"/>
        </w:rPr>
        <w:t>数据安全：本部分</w:t>
      </w:r>
      <w:r>
        <w:rPr>
          <w:rFonts w:hint="eastAsia"/>
          <w:sz w:val="28"/>
          <w:szCs w:val="28"/>
        </w:rPr>
        <w:t>从传输加密和存储安全两方面保障数据安全。设置字段完整率≥95% 和准确率≥90% 的质量底线，确保数据可用性。</w:t>
      </w:r>
    </w:p>
    <w:p w14:paraId="52D609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  <w:lang w:val="en-US" w:eastAsia="zh-CN"/>
        </w:rPr>
        <w:t>5</w:t>
      </w:r>
      <w:r>
        <w:rPr>
          <w:rFonts w:hint="eastAsia"/>
          <w:sz w:val="28"/>
          <w:szCs w:val="28"/>
        </w:rPr>
        <w:t>数据管理： 重点规定了数据的“用”与“管”。严格限制了数据用途（公共服务、城市治理、学术研究），明确禁止用于商业营销、用户画像等场景，除非获得额外授权，划清了数据利用的红线。</w:t>
      </w:r>
      <w:r>
        <w:rPr>
          <w:rFonts w:hint="eastAsia"/>
          <w:sz w:val="28"/>
          <w:szCs w:val="28"/>
          <w:lang w:val="en-US" w:eastAsia="zh-CN"/>
        </w:rPr>
        <w:t>对数据共享和交换提出要求。同时还</w:t>
      </w:r>
      <w:r>
        <w:rPr>
          <w:rFonts w:hint="eastAsia"/>
          <w:sz w:val="28"/>
          <w:szCs w:val="28"/>
        </w:rPr>
        <w:t>规定了原始数据和成果数据的存储期限（1年/5年），旨在落实《数据安全法》提出的数据全生命周期管理要求，减少不必要的长期存储风险。</w:t>
      </w:r>
    </w:p>
    <w:p w14:paraId="75EA0D9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5. </w:t>
      </w:r>
      <w:r>
        <w:rPr>
          <w:rFonts w:hint="eastAsia"/>
          <w:sz w:val="28"/>
          <w:szCs w:val="28"/>
          <w:lang w:val="en-US" w:eastAsia="zh-CN"/>
        </w:rPr>
        <w:t>评价</w:t>
      </w:r>
      <w:r>
        <w:rPr>
          <w:rFonts w:hint="eastAsia"/>
          <w:sz w:val="28"/>
          <w:szCs w:val="28"/>
        </w:rPr>
        <w:t>与改进： 建立了确保标准持续有效的机制。要求组织内部进行季度合规审计，</w:t>
      </w:r>
      <w:r>
        <w:rPr>
          <w:rFonts w:hint="eastAsia"/>
          <w:sz w:val="28"/>
          <w:szCs w:val="28"/>
          <w:lang w:val="en-US" w:eastAsia="zh-CN"/>
        </w:rPr>
        <w:t>并要求持续优化和改进数据收集方案，确保数据质量</w:t>
      </w:r>
      <w:r>
        <w:rPr>
          <w:rFonts w:hint="eastAsia"/>
          <w:sz w:val="28"/>
          <w:szCs w:val="28"/>
        </w:rPr>
        <w:t>。</w:t>
      </w:r>
    </w:p>
    <w:p w14:paraId="78672B6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>四、 与现行有关法律、法规和标准的关系</w:t>
      </w:r>
    </w:p>
    <w:p w14:paraId="73B0115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本标准严格以《</w:t>
      </w:r>
      <w:r>
        <w:rPr>
          <w:rFonts w:hint="eastAsia"/>
          <w:sz w:val="28"/>
          <w:szCs w:val="28"/>
          <w:lang w:val="en-US" w:eastAsia="zh-CN"/>
        </w:rPr>
        <w:t>中华人民共和国</w:t>
      </w:r>
      <w:r>
        <w:rPr>
          <w:rFonts w:hint="eastAsia"/>
          <w:sz w:val="28"/>
          <w:szCs w:val="28"/>
        </w:rPr>
        <w:t>网络安全法》《</w:t>
      </w:r>
      <w:r>
        <w:rPr>
          <w:rFonts w:hint="eastAsia"/>
          <w:sz w:val="28"/>
          <w:szCs w:val="28"/>
          <w:lang w:val="en-US" w:eastAsia="zh-CN"/>
        </w:rPr>
        <w:t>中华人民共和国</w:t>
      </w:r>
      <w:r>
        <w:rPr>
          <w:rFonts w:hint="eastAsia"/>
          <w:sz w:val="28"/>
          <w:szCs w:val="28"/>
        </w:rPr>
        <w:t>数据安全法》《</w:t>
      </w:r>
      <w:r>
        <w:rPr>
          <w:rFonts w:hint="eastAsia"/>
          <w:sz w:val="28"/>
          <w:szCs w:val="28"/>
          <w:lang w:val="en-US" w:eastAsia="zh-CN"/>
        </w:rPr>
        <w:t>中华人民共和国</w:t>
      </w:r>
      <w:r>
        <w:rPr>
          <w:rFonts w:hint="eastAsia"/>
          <w:sz w:val="28"/>
          <w:szCs w:val="28"/>
        </w:rPr>
        <w:t>个人信息保护法》为根本依据，是对上位法原则性规定的具体化和操作化。在技术层面，与GB/T 35273《</w:t>
      </w:r>
      <w:r>
        <w:rPr>
          <w:rFonts w:hint="eastAsia"/>
          <w:sz w:val="28"/>
          <w:szCs w:val="28"/>
          <w:lang w:val="en-US" w:eastAsia="zh-CN"/>
        </w:rPr>
        <w:t xml:space="preserve">信息安全技术 </w:t>
      </w:r>
      <w:r>
        <w:rPr>
          <w:rFonts w:hint="eastAsia"/>
          <w:sz w:val="28"/>
          <w:szCs w:val="28"/>
        </w:rPr>
        <w:t>个人信息安全规范》、GB/T 37964《</w:t>
      </w:r>
      <w:r>
        <w:rPr>
          <w:rFonts w:hint="eastAsia"/>
          <w:sz w:val="28"/>
          <w:szCs w:val="28"/>
          <w:lang w:val="en-US" w:eastAsia="zh-CN"/>
        </w:rPr>
        <w:t xml:space="preserve">信息安全技术 </w:t>
      </w:r>
      <w:r>
        <w:rPr>
          <w:rFonts w:hint="eastAsia"/>
          <w:sz w:val="28"/>
          <w:szCs w:val="28"/>
        </w:rPr>
        <w:t>个人信息去标识化指南》等国家标准保持高度一致并直接引用，确保了技术要求的权威性和兼容性。</w:t>
      </w:r>
    </w:p>
    <w:p w14:paraId="2BC14A8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五、 </w:t>
      </w:r>
      <w:r>
        <w:rPr>
          <w:rFonts w:hint="eastAsia"/>
          <w:sz w:val="28"/>
          <w:szCs w:val="28"/>
          <w:lang w:val="en-US" w:eastAsia="zh-CN"/>
        </w:rPr>
        <w:t>推动</w:t>
      </w:r>
      <w:r>
        <w:rPr>
          <w:rFonts w:hint="eastAsia"/>
          <w:sz w:val="28"/>
          <w:szCs w:val="28"/>
        </w:rPr>
        <w:t>实施</w:t>
      </w:r>
      <w:r>
        <w:rPr>
          <w:rFonts w:hint="eastAsia"/>
          <w:sz w:val="28"/>
          <w:szCs w:val="28"/>
          <w:lang w:val="en-US" w:eastAsia="zh-CN"/>
        </w:rPr>
        <w:t>的措施</w:t>
      </w:r>
      <w:r>
        <w:rPr>
          <w:rFonts w:hint="eastAsia"/>
          <w:sz w:val="28"/>
          <w:szCs w:val="28"/>
        </w:rPr>
        <w:t>建议</w:t>
      </w:r>
    </w:p>
    <w:p w14:paraId="16F3F6F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 为确保本标准的有效实施，建议如下：</w:t>
      </w:r>
    </w:p>
    <w:p w14:paraId="10AD56B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1. 加强宣传培训： 组织面向相关</w:t>
      </w:r>
      <w:r>
        <w:rPr>
          <w:rFonts w:hint="eastAsia"/>
          <w:sz w:val="28"/>
          <w:szCs w:val="28"/>
          <w:lang w:eastAsia="zh-CN"/>
        </w:rPr>
        <w:t>单位和</w:t>
      </w:r>
      <w:r>
        <w:rPr>
          <w:rFonts w:hint="eastAsia"/>
          <w:sz w:val="28"/>
          <w:szCs w:val="28"/>
        </w:rPr>
        <w:t>组织的标准宣贯会和培训，解读条款内涵和实施要点。</w:t>
      </w:r>
    </w:p>
    <w:p w14:paraId="19854EE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2. 推动试点示范： 选取若干家有代表性的单位开展标准应用试点，总结经验，树立标杆，逐步在全行业推广。</w:t>
      </w:r>
    </w:p>
    <w:p w14:paraId="1744ABF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 xml:space="preserve">    3. 建立配套机制： 建议协会探索建立与标准配套的合规评估或认证机制，为达标单位提供认证，提升其社会公信力。</w:t>
      </w:r>
    </w:p>
    <w:p w14:paraId="2D96820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4. 持续跟踪评估： 在标准实施后，定期收集反馈意见，评估实施效果，为下一轮的修订和完善提供实践依据。</w:t>
      </w:r>
    </w:p>
    <w:p w14:paraId="3C602CF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/>
        <w:textAlignment w:val="auto"/>
        <w:rPr>
          <w:rFonts w:hint="eastAsia"/>
          <w:sz w:val="28"/>
          <w:szCs w:val="28"/>
        </w:rPr>
      </w:pPr>
    </w:p>
    <w:p w14:paraId="2C8536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28"/>
        </w:rPr>
      </w:pPr>
      <w:r>
        <w:rPr>
          <w:rFonts w:hint="eastAsia"/>
          <w:sz w:val="28"/>
          <w:szCs w:val="28"/>
        </w:rPr>
        <w:t>本</w:t>
      </w:r>
      <w:r>
        <w:rPr>
          <w:rFonts w:hint="eastAsia"/>
          <w:sz w:val="28"/>
          <w:szCs w:val="28"/>
          <w:lang w:val="en-US" w:eastAsia="zh-CN"/>
        </w:rPr>
        <w:t>文件主要</w:t>
      </w:r>
      <w:r>
        <w:rPr>
          <w:rFonts w:hint="eastAsia"/>
          <w:sz w:val="28"/>
          <w:szCs w:val="28"/>
        </w:rPr>
        <w:t>起草单位：</w:t>
      </w:r>
      <w:r>
        <w:rPr>
          <w:rFonts w:hint="eastAsia"/>
          <w:sz w:val="28"/>
          <w:szCs w:val="28"/>
          <w:highlight w:val="none"/>
        </w:rPr>
        <w:t>大连市甘井子区数据局</w:t>
      </w:r>
      <w:r>
        <w:rPr>
          <w:rFonts w:hint="eastAsia"/>
          <w:sz w:val="28"/>
          <w:szCs w:val="28"/>
        </w:rPr>
        <w:t>、大连标准认证研究院有限公司、</w:t>
      </w:r>
      <w:r>
        <w:rPr>
          <w:rFonts w:hint="eastAsia"/>
          <w:sz w:val="28"/>
          <w:szCs w:val="28"/>
          <w:lang w:eastAsia="zh-CN"/>
        </w:rPr>
        <w:t>大连交通大学、大连理工大学软件学院、艾珂威尔信息技术服务（大连）有限公司、</w:t>
      </w:r>
      <w:r>
        <w:rPr>
          <w:rFonts w:hint="eastAsia"/>
          <w:sz w:val="28"/>
          <w:szCs w:val="28"/>
        </w:rPr>
        <w:t>大连移动甘井子区分公司</w:t>
      </w:r>
      <w:r>
        <w:rPr>
          <w:rFonts w:hint="eastAsia"/>
          <w:sz w:val="28"/>
          <w:szCs w:val="28"/>
          <w:lang w:eastAsia="zh-CN"/>
        </w:rPr>
        <w:t>、大连怡升科技有限公司</w:t>
      </w:r>
    </w:p>
    <w:p w14:paraId="2A80A4C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  <w:r>
        <w:rPr>
          <w:rFonts w:hint="eastAsia"/>
          <w:sz w:val="28"/>
          <w:szCs w:val="28"/>
        </w:rPr>
        <w:t>本文件主要起草人：</w:t>
      </w:r>
      <w:r>
        <w:rPr>
          <w:rFonts w:hint="eastAsia"/>
          <w:sz w:val="28"/>
          <w:szCs w:val="28"/>
          <w:highlight w:val="none"/>
          <w:lang w:eastAsia="zh-CN"/>
        </w:rPr>
        <w:t>赵一橙</w:t>
      </w:r>
      <w:r>
        <w:rPr>
          <w:rFonts w:hint="eastAsia"/>
          <w:sz w:val="28"/>
          <w:szCs w:val="28"/>
          <w:lang w:eastAsia="zh-CN"/>
        </w:rPr>
        <w:t>、</w:t>
      </w:r>
      <w:r>
        <w:rPr>
          <w:rFonts w:hint="eastAsia"/>
          <w:sz w:val="28"/>
          <w:szCs w:val="28"/>
          <w:lang w:val="en-US" w:eastAsia="zh-CN"/>
        </w:rPr>
        <w:t>由旦玉</w:t>
      </w:r>
      <w:r>
        <w:rPr>
          <w:rFonts w:hint="eastAsia"/>
          <w:sz w:val="28"/>
          <w:szCs w:val="28"/>
          <w:lang w:eastAsia="zh-CN"/>
        </w:rPr>
        <w:t>、吴玉临、</w:t>
      </w:r>
      <w:r>
        <w:rPr>
          <w:rFonts w:hint="eastAsia"/>
          <w:sz w:val="28"/>
          <w:szCs w:val="28"/>
          <w:lang w:val="en-US" w:eastAsia="zh-CN"/>
        </w:rPr>
        <w:t>刘海山、</w:t>
      </w:r>
      <w:r>
        <w:rPr>
          <w:rFonts w:hint="eastAsia"/>
          <w:sz w:val="28"/>
          <w:szCs w:val="28"/>
          <w:lang w:eastAsia="zh-CN"/>
        </w:rPr>
        <w:t>宋艳玉</w:t>
      </w:r>
      <w:r>
        <w:rPr>
          <w:rFonts w:hint="eastAsia"/>
          <w:sz w:val="28"/>
          <w:szCs w:val="28"/>
          <w:lang w:val="en-US" w:eastAsia="zh-CN"/>
        </w:rPr>
        <w:t>、徐博、刘爱敏、付振国、夏立坤、</w:t>
      </w:r>
      <w:r>
        <w:rPr>
          <w:rFonts w:hint="eastAsia"/>
          <w:sz w:val="28"/>
          <w:szCs w:val="28"/>
          <w:lang w:eastAsia="zh-CN"/>
        </w:rPr>
        <w:t>李雪霏、刘忠一。</w:t>
      </w:r>
    </w:p>
    <w:p w14:paraId="7C265D1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</w:p>
    <w:p w14:paraId="5B4E1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/>
          <w:sz w:val="28"/>
          <w:szCs w:val="28"/>
          <w:lang w:eastAsia="zh-CN"/>
        </w:rPr>
      </w:pPr>
    </w:p>
    <w:p w14:paraId="3CFD768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/>
          <w:sz w:val="28"/>
          <w:szCs w:val="28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7FC9"/>
    <w:rsid w:val="001C048E"/>
    <w:rsid w:val="006E4A62"/>
    <w:rsid w:val="00F37FC9"/>
    <w:rsid w:val="00F77619"/>
    <w:rsid w:val="011E0236"/>
    <w:rsid w:val="01457570"/>
    <w:rsid w:val="01463C70"/>
    <w:rsid w:val="018F4C90"/>
    <w:rsid w:val="019B1886"/>
    <w:rsid w:val="019D73AC"/>
    <w:rsid w:val="01B42948"/>
    <w:rsid w:val="01C34939"/>
    <w:rsid w:val="0236335D"/>
    <w:rsid w:val="02385327"/>
    <w:rsid w:val="023A4BFB"/>
    <w:rsid w:val="0297204E"/>
    <w:rsid w:val="02C47780"/>
    <w:rsid w:val="02FA082F"/>
    <w:rsid w:val="036839EA"/>
    <w:rsid w:val="036D1000"/>
    <w:rsid w:val="03716D43"/>
    <w:rsid w:val="03AC1B29"/>
    <w:rsid w:val="03DD6186"/>
    <w:rsid w:val="044C0C16"/>
    <w:rsid w:val="04936845"/>
    <w:rsid w:val="049F51EA"/>
    <w:rsid w:val="04A22F2C"/>
    <w:rsid w:val="04B8274F"/>
    <w:rsid w:val="05883ED0"/>
    <w:rsid w:val="05BC001D"/>
    <w:rsid w:val="05D709B3"/>
    <w:rsid w:val="061834A6"/>
    <w:rsid w:val="06693D01"/>
    <w:rsid w:val="066F5090"/>
    <w:rsid w:val="07091040"/>
    <w:rsid w:val="07474FE1"/>
    <w:rsid w:val="07C17B6D"/>
    <w:rsid w:val="07D01B5E"/>
    <w:rsid w:val="080737D2"/>
    <w:rsid w:val="088968DD"/>
    <w:rsid w:val="08A54D99"/>
    <w:rsid w:val="08EC29C7"/>
    <w:rsid w:val="08F16230"/>
    <w:rsid w:val="09045F63"/>
    <w:rsid w:val="09137F54"/>
    <w:rsid w:val="091F4B4B"/>
    <w:rsid w:val="092D54BA"/>
    <w:rsid w:val="09342499"/>
    <w:rsid w:val="093700E7"/>
    <w:rsid w:val="094B3B92"/>
    <w:rsid w:val="095073FA"/>
    <w:rsid w:val="09AB2883"/>
    <w:rsid w:val="09EF09C1"/>
    <w:rsid w:val="09F718E2"/>
    <w:rsid w:val="0A0D7099"/>
    <w:rsid w:val="0A5151D8"/>
    <w:rsid w:val="0AB066C2"/>
    <w:rsid w:val="0B350656"/>
    <w:rsid w:val="0B7A250D"/>
    <w:rsid w:val="0B896BF3"/>
    <w:rsid w:val="0BA23811"/>
    <w:rsid w:val="0BCB0FBA"/>
    <w:rsid w:val="0BE856C8"/>
    <w:rsid w:val="0C0149DC"/>
    <w:rsid w:val="0C104C1F"/>
    <w:rsid w:val="0C14470F"/>
    <w:rsid w:val="0C3D1EB8"/>
    <w:rsid w:val="0C6D2071"/>
    <w:rsid w:val="0C943AA2"/>
    <w:rsid w:val="0C945850"/>
    <w:rsid w:val="0CAA0BCF"/>
    <w:rsid w:val="0CB33F28"/>
    <w:rsid w:val="0CF602B9"/>
    <w:rsid w:val="0CF84031"/>
    <w:rsid w:val="0D097FEC"/>
    <w:rsid w:val="0D1424ED"/>
    <w:rsid w:val="0D26294C"/>
    <w:rsid w:val="0D42705A"/>
    <w:rsid w:val="0D4C7ED9"/>
    <w:rsid w:val="0D505C1B"/>
    <w:rsid w:val="0D660F9A"/>
    <w:rsid w:val="0DA43871"/>
    <w:rsid w:val="0DAB4BFF"/>
    <w:rsid w:val="0DDE3227"/>
    <w:rsid w:val="0E2844A2"/>
    <w:rsid w:val="0E2C21E4"/>
    <w:rsid w:val="0E6B438E"/>
    <w:rsid w:val="0E7C47EE"/>
    <w:rsid w:val="0F340C24"/>
    <w:rsid w:val="0F6E4136"/>
    <w:rsid w:val="10234F21"/>
    <w:rsid w:val="105B0B5E"/>
    <w:rsid w:val="1092654A"/>
    <w:rsid w:val="10D10E21"/>
    <w:rsid w:val="10FD7E68"/>
    <w:rsid w:val="111F7DDE"/>
    <w:rsid w:val="11BA7B07"/>
    <w:rsid w:val="120E1C01"/>
    <w:rsid w:val="12E110C3"/>
    <w:rsid w:val="130848A2"/>
    <w:rsid w:val="132D4308"/>
    <w:rsid w:val="134A0A16"/>
    <w:rsid w:val="134E6759"/>
    <w:rsid w:val="137837D5"/>
    <w:rsid w:val="139D148E"/>
    <w:rsid w:val="13AE5449"/>
    <w:rsid w:val="13CE33F5"/>
    <w:rsid w:val="13E9022F"/>
    <w:rsid w:val="140B289C"/>
    <w:rsid w:val="14537D9F"/>
    <w:rsid w:val="15415E49"/>
    <w:rsid w:val="15593193"/>
    <w:rsid w:val="157B135B"/>
    <w:rsid w:val="1594066F"/>
    <w:rsid w:val="15A00DC2"/>
    <w:rsid w:val="15BF56EC"/>
    <w:rsid w:val="170A508C"/>
    <w:rsid w:val="177E5132"/>
    <w:rsid w:val="17AF353E"/>
    <w:rsid w:val="18980476"/>
    <w:rsid w:val="18E13BCB"/>
    <w:rsid w:val="19704F4F"/>
    <w:rsid w:val="19E75211"/>
    <w:rsid w:val="19F4792E"/>
    <w:rsid w:val="19FD4A34"/>
    <w:rsid w:val="1A0C4C78"/>
    <w:rsid w:val="1A6C5716"/>
    <w:rsid w:val="1AA03612"/>
    <w:rsid w:val="1AAE3F81"/>
    <w:rsid w:val="1B373F76"/>
    <w:rsid w:val="1BBC26CD"/>
    <w:rsid w:val="1C6C5EA1"/>
    <w:rsid w:val="1C9378D2"/>
    <w:rsid w:val="1CE617B0"/>
    <w:rsid w:val="1D8A4831"/>
    <w:rsid w:val="1DD737EE"/>
    <w:rsid w:val="1E075E82"/>
    <w:rsid w:val="1E301693"/>
    <w:rsid w:val="1E430E84"/>
    <w:rsid w:val="1EAE454F"/>
    <w:rsid w:val="1EE12B77"/>
    <w:rsid w:val="1F0D396C"/>
    <w:rsid w:val="1F132604"/>
    <w:rsid w:val="1F170346"/>
    <w:rsid w:val="1F29007A"/>
    <w:rsid w:val="1F460C2C"/>
    <w:rsid w:val="1F8359DC"/>
    <w:rsid w:val="1FAB0A8F"/>
    <w:rsid w:val="207672EF"/>
    <w:rsid w:val="20DB35F6"/>
    <w:rsid w:val="20FF5536"/>
    <w:rsid w:val="21787096"/>
    <w:rsid w:val="22403CBA"/>
    <w:rsid w:val="22A16179"/>
    <w:rsid w:val="22BE4F7D"/>
    <w:rsid w:val="230E7CB2"/>
    <w:rsid w:val="23166B67"/>
    <w:rsid w:val="232B0864"/>
    <w:rsid w:val="23DC56BB"/>
    <w:rsid w:val="24374FE7"/>
    <w:rsid w:val="243C25FD"/>
    <w:rsid w:val="243F5C4A"/>
    <w:rsid w:val="24704055"/>
    <w:rsid w:val="248C5333"/>
    <w:rsid w:val="24CD76F9"/>
    <w:rsid w:val="24CE594B"/>
    <w:rsid w:val="24EC5DD1"/>
    <w:rsid w:val="25387269"/>
    <w:rsid w:val="255676EF"/>
    <w:rsid w:val="255E0351"/>
    <w:rsid w:val="25A42208"/>
    <w:rsid w:val="25D36F91"/>
    <w:rsid w:val="25F5515A"/>
    <w:rsid w:val="26296BB1"/>
    <w:rsid w:val="267047E0"/>
    <w:rsid w:val="26CB1A16"/>
    <w:rsid w:val="275814FC"/>
    <w:rsid w:val="27767BD4"/>
    <w:rsid w:val="277B51EB"/>
    <w:rsid w:val="277D0F63"/>
    <w:rsid w:val="27D33279"/>
    <w:rsid w:val="27EE1E60"/>
    <w:rsid w:val="281D62A2"/>
    <w:rsid w:val="282133EE"/>
    <w:rsid w:val="286839C1"/>
    <w:rsid w:val="286B525F"/>
    <w:rsid w:val="28FC05AD"/>
    <w:rsid w:val="29114058"/>
    <w:rsid w:val="292A511A"/>
    <w:rsid w:val="29332221"/>
    <w:rsid w:val="298F31CF"/>
    <w:rsid w:val="29946A38"/>
    <w:rsid w:val="2A0B4F4C"/>
    <w:rsid w:val="2A297180"/>
    <w:rsid w:val="2A355B25"/>
    <w:rsid w:val="2A44220C"/>
    <w:rsid w:val="2A4E6BE6"/>
    <w:rsid w:val="2A88659C"/>
    <w:rsid w:val="2A952A67"/>
    <w:rsid w:val="2A954815"/>
    <w:rsid w:val="2AAD1B5F"/>
    <w:rsid w:val="2B514BE0"/>
    <w:rsid w:val="2B520958"/>
    <w:rsid w:val="2B5B5A5F"/>
    <w:rsid w:val="2B632B65"/>
    <w:rsid w:val="2B6568DD"/>
    <w:rsid w:val="2B9176D3"/>
    <w:rsid w:val="2B9B40AD"/>
    <w:rsid w:val="2B9C3BC7"/>
    <w:rsid w:val="2BBD2276"/>
    <w:rsid w:val="2C0734F1"/>
    <w:rsid w:val="2C0C0B07"/>
    <w:rsid w:val="2C1874AC"/>
    <w:rsid w:val="2C8D1C48"/>
    <w:rsid w:val="2CD755B9"/>
    <w:rsid w:val="2DCC2C44"/>
    <w:rsid w:val="2E0B376C"/>
    <w:rsid w:val="2E494294"/>
    <w:rsid w:val="2E4A5917"/>
    <w:rsid w:val="2E5F13C2"/>
    <w:rsid w:val="2E903C71"/>
    <w:rsid w:val="2EA80FBB"/>
    <w:rsid w:val="2EDC2A13"/>
    <w:rsid w:val="2EE31FF3"/>
    <w:rsid w:val="2F302D5E"/>
    <w:rsid w:val="2FA07EE4"/>
    <w:rsid w:val="2FE47EAD"/>
    <w:rsid w:val="2FEE50F3"/>
    <w:rsid w:val="300761B5"/>
    <w:rsid w:val="306453B6"/>
    <w:rsid w:val="30760C45"/>
    <w:rsid w:val="3082583C"/>
    <w:rsid w:val="30847806"/>
    <w:rsid w:val="311F752F"/>
    <w:rsid w:val="314174A5"/>
    <w:rsid w:val="31653193"/>
    <w:rsid w:val="316867E0"/>
    <w:rsid w:val="3195334D"/>
    <w:rsid w:val="31973569"/>
    <w:rsid w:val="31DE4CF4"/>
    <w:rsid w:val="3220355E"/>
    <w:rsid w:val="325D3E6B"/>
    <w:rsid w:val="3264344B"/>
    <w:rsid w:val="326F3B9E"/>
    <w:rsid w:val="32FE389F"/>
    <w:rsid w:val="33631954"/>
    <w:rsid w:val="337A6C9E"/>
    <w:rsid w:val="33A67A93"/>
    <w:rsid w:val="33D17928"/>
    <w:rsid w:val="34237336"/>
    <w:rsid w:val="34DF325D"/>
    <w:rsid w:val="35076310"/>
    <w:rsid w:val="352E1AEE"/>
    <w:rsid w:val="35780FBB"/>
    <w:rsid w:val="35814314"/>
    <w:rsid w:val="358838F4"/>
    <w:rsid w:val="362A0508"/>
    <w:rsid w:val="365732C7"/>
    <w:rsid w:val="3684230E"/>
    <w:rsid w:val="369167D9"/>
    <w:rsid w:val="36F079A3"/>
    <w:rsid w:val="3768578B"/>
    <w:rsid w:val="379245B6"/>
    <w:rsid w:val="379F6CD3"/>
    <w:rsid w:val="37AD13F0"/>
    <w:rsid w:val="37E64902"/>
    <w:rsid w:val="3825542A"/>
    <w:rsid w:val="38547ABE"/>
    <w:rsid w:val="387E0FDF"/>
    <w:rsid w:val="388C7258"/>
    <w:rsid w:val="38AE3672"/>
    <w:rsid w:val="38BD5663"/>
    <w:rsid w:val="38E86458"/>
    <w:rsid w:val="38FB43DD"/>
    <w:rsid w:val="394418E0"/>
    <w:rsid w:val="39665CFB"/>
    <w:rsid w:val="39A71E6F"/>
    <w:rsid w:val="39AC56D7"/>
    <w:rsid w:val="39D8471E"/>
    <w:rsid w:val="3A0B4AF4"/>
    <w:rsid w:val="3A282FB0"/>
    <w:rsid w:val="3A3E0A25"/>
    <w:rsid w:val="3A451DB4"/>
    <w:rsid w:val="3A7C154E"/>
    <w:rsid w:val="3AEA295B"/>
    <w:rsid w:val="3AEA64B7"/>
    <w:rsid w:val="3B0752BB"/>
    <w:rsid w:val="3B1E43B3"/>
    <w:rsid w:val="3B295232"/>
    <w:rsid w:val="3B6A75F8"/>
    <w:rsid w:val="3B7B56C9"/>
    <w:rsid w:val="3BB70A8F"/>
    <w:rsid w:val="3BC35686"/>
    <w:rsid w:val="3BF5780A"/>
    <w:rsid w:val="3C261771"/>
    <w:rsid w:val="3C326368"/>
    <w:rsid w:val="3C6127A9"/>
    <w:rsid w:val="3CA31014"/>
    <w:rsid w:val="3CE05DC4"/>
    <w:rsid w:val="3D09356D"/>
    <w:rsid w:val="3DCC00F6"/>
    <w:rsid w:val="3E0930F8"/>
    <w:rsid w:val="3E4E3201"/>
    <w:rsid w:val="3EED47C8"/>
    <w:rsid w:val="3F281CA4"/>
    <w:rsid w:val="3F6E3B5B"/>
    <w:rsid w:val="3F9E5AC2"/>
    <w:rsid w:val="3FA07A8C"/>
    <w:rsid w:val="3FBF6165"/>
    <w:rsid w:val="3FE45BCB"/>
    <w:rsid w:val="40095632"/>
    <w:rsid w:val="400B13AA"/>
    <w:rsid w:val="40297A82"/>
    <w:rsid w:val="40C17CBA"/>
    <w:rsid w:val="41151DB4"/>
    <w:rsid w:val="41175B2C"/>
    <w:rsid w:val="41354204"/>
    <w:rsid w:val="41452699"/>
    <w:rsid w:val="414F52C6"/>
    <w:rsid w:val="41654AEA"/>
    <w:rsid w:val="417E204F"/>
    <w:rsid w:val="41A25D3E"/>
    <w:rsid w:val="41C95079"/>
    <w:rsid w:val="41F12821"/>
    <w:rsid w:val="42100EF9"/>
    <w:rsid w:val="421D3616"/>
    <w:rsid w:val="42312C1E"/>
    <w:rsid w:val="425D1C65"/>
    <w:rsid w:val="425D3A13"/>
    <w:rsid w:val="429338D8"/>
    <w:rsid w:val="42CD0B98"/>
    <w:rsid w:val="434C2B07"/>
    <w:rsid w:val="436F7EA2"/>
    <w:rsid w:val="43727992"/>
    <w:rsid w:val="437B23A2"/>
    <w:rsid w:val="43A51B15"/>
    <w:rsid w:val="43DE2931"/>
    <w:rsid w:val="43F263DD"/>
    <w:rsid w:val="44112D07"/>
    <w:rsid w:val="44623562"/>
    <w:rsid w:val="4475773A"/>
    <w:rsid w:val="44AB6CB7"/>
    <w:rsid w:val="451A208F"/>
    <w:rsid w:val="45352A25"/>
    <w:rsid w:val="45A51959"/>
    <w:rsid w:val="45FD1795"/>
    <w:rsid w:val="460F14C8"/>
    <w:rsid w:val="46B8390E"/>
    <w:rsid w:val="46BC33FE"/>
    <w:rsid w:val="46D30747"/>
    <w:rsid w:val="46F661E4"/>
    <w:rsid w:val="471054F8"/>
    <w:rsid w:val="478F28C0"/>
    <w:rsid w:val="47D74267"/>
    <w:rsid w:val="4893018E"/>
    <w:rsid w:val="48B16866"/>
    <w:rsid w:val="48B620CF"/>
    <w:rsid w:val="48C52312"/>
    <w:rsid w:val="48DA7B6B"/>
    <w:rsid w:val="48DF1625"/>
    <w:rsid w:val="48F6071D"/>
    <w:rsid w:val="490966A2"/>
    <w:rsid w:val="49635DB3"/>
    <w:rsid w:val="49D7054F"/>
    <w:rsid w:val="4A4A5934"/>
    <w:rsid w:val="4AE922E8"/>
    <w:rsid w:val="4AEF3676"/>
    <w:rsid w:val="4B441C14"/>
    <w:rsid w:val="4B502367"/>
    <w:rsid w:val="4BA34B8C"/>
    <w:rsid w:val="4BE62CCB"/>
    <w:rsid w:val="4C20442F"/>
    <w:rsid w:val="4CAA3CF8"/>
    <w:rsid w:val="4CDF1BF4"/>
    <w:rsid w:val="4CEA0599"/>
    <w:rsid w:val="4DE90850"/>
    <w:rsid w:val="4E192EE4"/>
    <w:rsid w:val="4E1C0C26"/>
    <w:rsid w:val="4E6A1991"/>
    <w:rsid w:val="4E86609F"/>
    <w:rsid w:val="4EB726FD"/>
    <w:rsid w:val="4EEF633A"/>
    <w:rsid w:val="4F0F2539"/>
    <w:rsid w:val="4F1B712F"/>
    <w:rsid w:val="4F204746"/>
    <w:rsid w:val="4F22226C"/>
    <w:rsid w:val="4F3E697A"/>
    <w:rsid w:val="4F3F4BCC"/>
    <w:rsid w:val="4FA64C4B"/>
    <w:rsid w:val="4FFF435B"/>
    <w:rsid w:val="50081462"/>
    <w:rsid w:val="50324731"/>
    <w:rsid w:val="506D5769"/>
    <w:rsid w:val="5099655E"/>
    <w:rsid w:val="50CD4459"/>
    <w:rsid w:val="51956D68"/>
    <w:rsid w:val="52171E30"/>
    <w:rsid w:val="52285DEB"/>
    <w:rsid w:val="52A01E26"/>
    <w:rsid w:val="52A631B4"/>
    <w:rsid w:val="52B4767F"/>
    <w:rsid w:val="52C06024"/>
    <w:rsid w:val="53130849"/>
    <w:rsid w:val="53874D93"/>
    <w:rsid w:val="53982AFD"/>
    <w:rsid w:val="53AB0A82"/>
    <w:rsid w:val="545A4256"/>
    <w:rsid w:val="547E7F44"/>
    <w:rsid w:val="54DE4E87"/>
    <w:rsid w:val="550D3076"/>
    <w:rsid w:val="55286102"/>
    <w:rsid w:val="5536081F"/>
    <w:rsid w:val="555D2250"/>
    <w:rsid w:val="55676C2B"/>
    <w:rsid w:val="55CC4CE0"/>
    <w:rsid w:val="56026953"/>
    <w:rsid w:val="563F1955"/>
    <w:rsid w:val="56D402F0"/>
    <w:rsid w:val="56E12A0D"/>
    <w:rsid w:val="56F02C50"/>
    <w:rsid w:val="574134AB"/>
    <w:rsid w:val="57A31A70"/>
    <w:rsid w:val="5829466B"/>
    <w:rsid w:val="58445001"/>
    <w:rsid w:val="589D0BB5"/>
    <w:rsid w:val="58A65CBC"/>
    <w:rsid w:val="5915074C"/>
    <w:rsid w:val="59401C6C"/>
    <w:rsid w:val="59F1740B"/>
    <w:rsid w:val="59FB2037"/>
    <w:rsid w:val="5A0709DC"/>
    <w:rsid w:val="5AA71877"/>
    <w:rsid w:val="5AF80325"/>
    <w:rsid w:val="5AFC7E15"/>
    <w:rsid w:val="5B7756EE"/>
    <w:rsid w:val="5BA26C0E"/>
    <w:rsid w:val="5BA34735"/>
    <w:rsid w:val="5BA81D4B"/>
    <w:rsid w:val="5BBC75A4"/>
    <w:rsid w:val="5C125416"/>
    <w:rsid w:val="5C2A09B2"/>
    <w:rsid w:val="5C844566"/>
    <w:rsid w:val="5CE84AF5"/>
    <w:rsid w:val="5D5C2DED"/>
    <w:rsid w:val="5D810AA5"/>
    <w:rsid w:val="5D850596"/>
    <w:rsid w:val="5DC0337C"/>
    <w:rsid w:val="5DC15346"/>
    <w:rsid w:val="5DD62B9F"/>
    <w:rsid w:val="5DF70D68"/>
    <w:rsid w:val="5E055233"/>
    <w:rsid w:val="5E082F75"/>
    <w:rsid w:val="5E2356B9"/>
    <w:rsid w:val="5E547F68"/>
    <w:rsid w:val="5E710B1A"/>
    <w:rsid w:val="5E8F0FA0"/>
    <w:rsid w:val="5EFD415C"/>
    <w:rsid w:val="5F265461"/>
    <w:rsid w:val="5F702B80"/>
    <w:rsid w:val="5F942D12"/>
    <w:rsid w:val="5FF4555F"/>
    <w:rsid w:val="60602BF4"/>
    <w:rsid w:val="607E12CC"/>
    <w:rsid w:val="60B92304"/>
    <w:rsid w:val="61016185"/>
    <w:rsid w:val="610C4B2A"/>
    <w:rsid w:val="611F660B"/>
    <w:rsid w:val="612C6F7A"/>
    <w:rsid w:val="613D4CE3"/>
    <w:rsid w:val="61677017"/>
    <w:rsid w:val="618943CD"/>
    <w:rsid w:val="618E553F"/>
    <w:rsid w:val="619F774C"/>
    <w:rsid w:val="61A42FB4"/>
    <w:rsid w:val="61D513C0"/>
    <w:rsid w:val="61E6537B"/>
    <w:rsid w:val="61EF2482"/>
    <w:rsid w:val="620D6DAC"/>
    <w:rsid w:val="62465E1A"/>
    <w:rsid w:val="628250A4"/>
    <w:rsid w:val="629E7A04"/>
    <w:rsid w:val="63422A85"/>
    <w:rsid w:val="636429FB"/>
    <w:rsid w:val="63D7190C"/>
    <w:rsid w:val="63E37DC4"/>
    <w:rsid w:val="644F5459"/>
    <w:rsid w:val="6468651B"/>
    <w:rsid w:val="649966D5"/>
    <w:rsid w:val="64F61D79"/>
    <w:rsid w:val="6545060B"/>
    <w:rsid w:val="6598698C"/>
    <w:rsid w:val="65DA0D53"/>
    <w:rsid w:val="65FF07B9"/>
    <w:rsid w:val="6626043C"/>
    <w:rsid w:val="663366B5"/>
    <w:rsid w:val="66B772E6"/>
    <w:rsid w:val="670A1B0C"/>
    <w:rsid w:val="6727446C"/>
    <w:rsid w:val="673F7A07"/>
    <w:rsid w:val="6787315C"/>
    <w:rsid w:val="67AB6E4B"/>
    <w:rsid w:val="680D18B3"/>
    <w:rsid w:val="687A05CB"/>
    <w:rsid w:val="68A45648"/>
    <w:rsid w:val="68AD274F"/>
    <w:rsid w:val="68C47A98"/>
    <w:rsid w:val="68CD2DF1"/>
    <w:rsid w:val="68EF0FB9"/>
    <w:rsid w:val="6908207B"/>
    <w:rsid w:val="690A5DF3"/>
    <w:rsid w:val="69146C72"/>
    <w:rsid w:val="6931512E"/>
    <w:rsid w:val="69B875FD"/>
    <w:rsid w:val="6A114F5F"/>
    <w:rsid w:val="6A7E25F5"/>
    <w:rsid w:val="6A941E18"/>
    <w:rsid w:val="6B633598"/>
    <w:rsid w:val="6B8C6F93"/>
    <w:rsid w:val="6BA37E39"/>
    <w:rsid w:val="6BFB7C75"/>
    <w:rsid w:val="6C580C23"/>
    <w:rsid w:val="6D1A237D"/>
    <w:rsid w:val="6D203E37"/>
    <w:rsid w:val="6D8223FC"/>
    <w:rsid w:val="6D965EA7"/>
    <w:rsid w:val="6E217E67"/>
    <w:rsid w:val="6E661D1D"/>
    <w:rsid w:val="6E9A3775"/>
    <w:rsid w:val="6ED24CBD"/>
    <w:rsid w:val="6F5E29F5"/>
    <w:rsid w:val="6F773AB6"/>
    <w:rsid w:val="6F806E0F"/>
    <w:rsid w:val="6F871F4B"/>
    <w:rsid w:val="6FA7614A"/>
    <w:rsid w:val="6FC00FB9"/>
    <w:rsid w:val="6FCA62DC"/>
    <w:rsid w:val="700A492A"/>
    <w:rsid w:val="70187047"/>
    <w:rsid w:val="704E2A69"/>
    <w:rsid w:val="70A97C9F"/>
    <w:rsid w:val="70D311C0"/>
    <w:rsid w:val="70F74EAF"/>
    <w:rsid w:val="711F61B4"/>
    <w:rsid w:val="713A2FED"/>
    <w:rsid w:val="713A4D9B"/>
    <w:rsid w:val="716562BC"/>
    <w:rsid w:val="71CF1988"/>
    <w:rsid w:val="71DA42DA"/>
    <w:rsid w:val="72BB3CBA"/>
    <w:rsid w:val="72EB27F1"/>
    <w:rsid w:val="734D271D"/>
    <w:rsid w:val="736B1B84"/>
    <w:rsid w:val="73E6120B"/>
    <w:rsid w:val="7416389E"/>
    <w:rsid w:val="7440091B"/>
    <w:rsid w:val="74820F33"/>
    <w:rsid w:val="74F160B9"/>
    <w:rsid w:val="754937FF"/>
    <w:rsid w:val="754D1541"/>
    <w:rsid w:val="758E3908"/>
    <w:rsid w:val="75C15A8B"/>
    <w:rsid w:val="760C31AA"/>
    <w:rsid w:val="765E152C"/>
    <w:rsid w:val="766905FD"/>
    <w:rsid w:val="76A258BD"/>
    <w:rsid w:val="76A96C4B"/>
    <w:rsid w:val="76B13D52"/>
    <w:rsid w:val="76EA1012"/>
    <w:rsid w:val="77B21B30"/>
    <w:rsid w:val="789631FF"/>
    <w:rsid w:val="791B54B2"/>
    <w:rsid w:val="796926C2"/>
    <w:rsid w:val="79DD09BA"/>
    <w:rsid w:val="79F53F55"/>
    <w:rsid w:val="7A3C7DD6"/>
    <w:rsid w:val="7A807CC3"/>
    <w:rsid w:val="7A8C2B0C"/>
    <w:rsid w:val="7A910122"/>
    <w:rsid w:val="7AA53BCD"/>
    <w:rsid w:val="7AF35895"/>
    <w:rsid w:val="7B334D35"/>
    <w:rsid w:val="7B937ECA"/>
    <w:rsid w:val="7C6B6751"/>
    <w:rsid w:val="7C6D24C9"/>
    <w:rsid w:val="7D252DA4"/>
    <w:rsid w:val="7D796C4C"/>
    <w:rsid w:val="7DE467BB"/>
    <w:rsid w:val="7E192908"/>
    <w:rsid w:val="7E2766A8"/>
    <w:rsid w:val="7E5D031B"/>
    <w:rsid w:val="7E663674"/>
    <w:rsid w:val="7EFB200E"/>
    <w:rsid w:val="7F160BF6"/>
    <w:rsid w:val="7F3217A8"/>
    <w:rsid w:val="7F413799"/>
    <w:rsid w:val="7F5931D8"/>
    <w:rsid w:val="7F7E49ED"/>
    <w:rsid w:val="7FC22B2C"/>
    <w:rsid w:val="7FFA22C6"/>
    <w:rsid w:val="7FFB7D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customStyle="1" w:styleId="6">
    <w:name w:val="标准文件_段"/>
    <w:qFormat/>
    <w:uiPriority w:val="0"/>
    <w:pPr>
      <w:autoSpaceDE w:val="0"/>
      <w:autoSpaceDN w:val="0"/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271ED9C-3C50-4788-89EB-2A0FA76316F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2289</Words>
  <Characters>2354</Characters>
  <Lines>18</Lines>
  <Paragraphs>5</Paragraphs>
  <TotalTime>45</TotalTime>
  <ScaleCrop>false</ScaleCrop>
  <LinksUpToDate>false</LinksUpToDate>
  <CharactersWithSpaces>2465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2025-09-19T10:30:00Z</dcterms:created>
  <dc:creator>admin</dc:creator>
  <cp:lastModifiedBy>海山</cp:lastModifiedBy>
  <dcterms:modified xsi:type="dcterms:W3CDTF">2025-10-28T06:59:43Z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eyJoZGlkIjoiODM3MjBlZTQxMDZhZWM4MzI1NzRiZGY4OGY4NmQ2ZGUiLCJ1c2VySWQiOiIzMTQ3NzQ2MzAifQ==</vt:lpwstr>
  </property>
  <property fmtid="{D5CDD505-2E9C-101B-9397-08002B2CF9AE}" pid="3" name="KSOProductBuildVer">
    <vt:lpwstr>2052-12.1.0.23125</vt:lpwstr>
  </property>
  <property fmtid="{D5CDD505-2E9C-101B-9397-08002B2CF9AE}" pid="4" name="ICV">
    <vt:lpwstr>73070608944040A6A8CAF69CB43E0BFF_13</vt:lpwstr>
  </property>
</Properties>
</file>