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000000"/>
          <w:kern w:val="0"/>
          <w:sz w:val="44"/>
          <w:szCs w:val="44"/>
        </w:rPr>
      </w:pPr>
    </w:p>
    <w:p>
      <w:pPr>
        <w:widowControl/>
        <w:jc w:val="left"/>
        <w:rPr>
          <w:rFonts w:ascii="黑体" w:hAnsi="黑体" w:eastAsia="黑体" w:cs="宋体"/>
          <w:color w:val="000000"/>
          <w:kern w:val="0"/>
          <w:sz w:val="44"/>
          <w:szCs w:val="44"/>
        </w:rPr>
      </w:pPr>
    </w:p>
    <w:p>
      <w:pPr>
        <w:widowControl/>
        <w:jc w:val="left"/>
        <w:rPr>
          <w:rFonts w:ascii="黑体" w:hAnsi="黑体" w:eastAsia="黑体" w:cs="宋体"/>
          <w:color w:val="000000"/>
          <w:kern w:val="0"/>
          <w:sz w:val="44"/>
          <w:szCs w:val="44"/>
        </w:rPr>
      </w:pPr>
    </w:p>
    <w:p>
      <w:pPr>
        <w:widowControl/>
        <w:jc w:val="left"/>
        <w:rPr>
          <w:rFonts w:ascii="黑体" w:hAnsi="黑体" w:eastAsia="黑体" w:cs="宋体"/>
          <w:color w:val="000000"/>
          <w:kern w:val="0"/>
          <w:sz w:val="44"/>
          <w:szCs w:val="44"/>
        </w:rPr>
      </w:pPr>
    </w:p>
    <w:p>
      <w:pPr>
        <w:widowControl/>
        <w:jc w:val="center"/>
        <w:rPr>
          <w:rFonts w:ascii="宋体" w:hAnsi="宋体" w:eastAsia="宋体" w:cs="宋体"/>
          <w:kern w:val="0"/>
          <w:sz w:val="24"/>
          <w:szCs w:val="24"/>
        </w:rPr>
      </w:pPr>
      <w:r>
        <w:rPr>
          <w:rFonts w:hint="eastAsia" w:ascii="黑体" w:hAnsi="黑体" w:eastAsia="黑体" w:cs="宋体"/>
          <w:color w:val="000000"/>
          <w:kern w:val="0"/>
          <w:sz w:val="44"/>
          <w:szCs w:val="44"/>
        </w:rPr>
        <w:t>大连市地方标准</w:t>
      </w:r>
    </w:p>
    <w:p>
      <w:pPr>
        <w:widowControl/>
        <w:jc w:val="center"/>
        <w:rPr>
          <w:rFonts w:ascii="宋体" w:hAnsi="宋体" w:eastAsia="宋体" w:cs="宋体"/>
          <w:kern w:val="0"/>
          <w:sz w:val="24"/>
          <w:szCs w:val="24"/>
        </w:rPr>
      </w:pPr>
      <w:r>
        <w:rPr>
          <w:rFonts w:hint="eastAsia" w:ascii="黑体" w:hAnsi="黑体" w:eastAsia="黑体" w:cs="宋体"/>
          <w:color w:val="000000"/>
          <w:kern w:val="0"/>
          <w:sz w:val="44"/>
          <w:szCs w:val="44"/>
        </w:rPr>
        <w:t>《海鲜预制菜通用要求》</w:t>
      </w:r>
    </w:p>
    <w:p>
      <w:pPr>
        <w:widowControl/>
        <w:jc w:val="center"/>
        <w:rPr>
          <w:rFonts w:ascii="黑体" w:hAnsi="黑体" w:eastAsia="黑体" w:cs="宋体"/>
          <w:color w:val="000000"/>
          <w:kern w:val="0"/>
          <w:sz w:val="44"/>
          <w:szCs w:val="44"/>
        </w:rPr>
      </w:pPr>
      <w:r>
        <w:rPr>
          <w:rFonts w:hint="eastAsia" w:ascii="黑体" w:hAnsi="黑体" w:eastAsia="黑体" w:cs="宋体"/>
          <w:color w:val="000000"/>
          <w:kern w:val="0"/>
          <w:sz w:val="44"/>
          <w:szCs w:val="44"/>
        </w:rPr>
        <w:t>编制说明</w:t>
      </w:r>
    </w:p>
    <w:p>
      <w:pPr>
        <w:widowControl/>
        <w:jc w:val="left"/>
        <w:rPr>
          <w:rFonts w:ascii="黑体" w:hAnsi="黑体" w:eastAsia="黑体" w:cs="宋体"/>
          <w:color w:val="000000"/>
          <w:kern w:val="0"/>
          <w:sz w:val="44"/>
          <w:szCs w:val="44"/>
        </w:rPr>
      </w:pPr>
    </w:p>
    <w:p>
      <w:pPr>
        <w:widowControl/>
        <w:jc w:val="left"/>
        <w:rPr>
          <w:rFonts w:ascii="黑体" w:hAnsi="黑体" w:eastAsia="黑体" w:cs="宋体"/>
          <w:color w:val="000000"/>
          <w:kern w:val="0"/>
          <w:sz w:val="44"/>
          <w:szCs w:val="44"/>
        </w:rPr>
      </w:pPr>
    </w:p>
    <w:p>
      <w:pPr>
        <w:widowControl/>
        <w:jc w:val="left"/>
        <w:rPr>
          <w:rFonts w:ascii="黑体" w:hAnsi="黑体" w:eastAsia="黑体" w:cs="宋体"/>
          <w:color w:val="000000"/>
          <w:kern w:val="0"/>
          <w:sz w:val="44"/>
          <w:szCs w:val="44"/>
        </w:rPr>
      </w:pPr>
    </w:p>
    <w:p>
      <w:pPr>
        <w:widowControl/>
        <w:jc w:val="left"/>
        <w:rPr>
          <w:rFonts w:ascii="黑体" w:hAnsi="黑体" w:eastAsia="黑体" w:cs="宋体"/>
          <w:color w:val="000000"/>
          <w:kern w:val="0"/>
          <w:sz w:val="44"/>
          <w:szCs w:val="44"/>
        </w:rPr>
      </w:pPr>
    </w:p>
    <w:p>
      <w:pPr>
        <w:widowControl/>
        <w:jc w:val="left"/>
        <w:rPr>
          <w:rFonts w:ascii="黑体" w:hAnsi="黑体" w:eastAsia="黑体" w:cs="宋体"/>
          <w:color w:val="000000"/>
          <w:kern w:val="0"/>
          <w:sz w:val="44"/>
          <w:szCs w:val="44"/>
        </w:rPr>
      </w:pPr>
    </w:p>
    <w:p>
      <w:pPr>
        <w:widowControl/>
        <w:jc w:val="left"/>
        <w:rPr>
          <w:rFonts w:ascii="黑体" w:hAnsi="黑体" w:eastAsia="黑体" w:cs="宋体"/>
          <w:color w:val="000000"/>
          <w:kern w:val="0"/>
          <w:sz w:val="44"/>
          <w:szCs w:val="44"/>
        </w:rPr>
      </w:pPr>
    </w:p>
    <w:p>
      <w:pPr>
        <w:widowControl/>
        <w:jc w:val="left"/>
        <w:rPr>
          <w:rFonts w:ascii="黑体" w:hAnsi="黑体" w:eastAsia="黑体" w:cs="宋体"/>
          <w:color w:val="000000"/>
          <w:kern w:val="0"/>
          <w:sz w:val="44"/>
          <w:szCs w:val="44"/>
        </w:rPr>
      </w:pPr>
    </w:p>
    <w:p>
      <w:pPr>
        <w:widowControl/>
        <w:jc w:val="left"/>
        <w:rPr>
          <w:rFonts w:ascii="黑体" w:hAnsi="黑体" w:eastAsia="黑体" w:cs="宋体"/>
          <w:color w:val="000000"/>
          <w:kern w:val="0"/>
          <w:sz w:val="44"/>
          <w:szCs w:val="44"/>
        </w:rPr>
      </w:pPr>
    </w:p>
    <w:p>
      <w:pPr>
        <w:widowControl/>
        <w:jc w:val="center"/>
        <w:rPr>
          <w:rFonts w:ascii="黑体" w:hAnsi="黑体" w:eastAsia="黑体" w:cs="宋体"/>
          <w:color w:val="000000"/>
          <w:kern w:val="0"/>
          <w:sz w:val="44"/>
          <w:szCs w:val="44"/>
        </w:rPr>
      </w:pPr>
    </w:p>
    <w:p>
      <w:pPr>
        <w:widowControl/>
        <w:jc w:val="center"/>
        <w:rPr>
          <w:rFonts w:ascii="黑体" w:hAnsi="黑体" w:eastAsia="黑体" w:cs="宋体"/>
          <w:color w:val="000000"/>
          <w:kern w:val="0"/>
          <w:sz w:val="44"/>
          <w:szCs w:val="44"/>
        </w:rPr>
      </w:pPr>
    </w:p>
    <w:p>
      <w:pPr>
        <w:widowControl/>
        <w:jc w:val="center"/>
        <w:rPr>
          <w:rFonts w:ascii="黑体" w:hAnsi="黑体" w:eastAsia="黑体" w:cs="宋体"/>
          <w:color w:val="000000"/>
          <w:kern w:val="0"/>
          <w:sz w:val="44"/>
          <w:szCs w:val="44"/>
        </w:rPr>
      </w:pPr>
    </w:p>
    <w:p>
      <w:pPr>
        <w:widowControl/>
        <w:jc w:val="center"/>
        <w:rPr>
          <w:rFonts w:ascii="黑体" w:hAnsi="黑体" w:eastAsia="黑体" w:cs="宋体"/>
          <w:color w:val="000000"/>
          <w:kern w:val="0"/>
          <w:sz w:val="44"/>
          <w:szCs w:val="44"/>
        </w:rPr>
      </w:pPr>
    </w:p>
    <w:p>
      <w:pPr>
        <w:widowControl/>
        <w:jc w:val="center"/>
        <w:rPr>
          <w:rFonts w:ascii="黑体" w:hAnsi="黑体" w:eastAsia="黑体" w:cs="宋体"/>
          <w:color w:val="000000"/>
          <w:kern w:val="0"/>
          <w:sz w:val="44"/>
          <w:szCs w:val="44"/>
        </w:rPr>
      </w:pPr>
    </w:p>
    <w:p>
      <w:pPr>
        <w:widowControl/>
        <w:jc w:val="center"/>
        <w:rPr>
          <w:rFonts w:ascii="宋体" w:hAnsi="宋体" w:eastAsia="宋体" w:cs="宋体"/>
          <w:kern w:val="0"/>
          <w:sz w:val="24"/>
          <w:szCs w:val="24"/>
        </w:rPr>
      </w:pPr>
      <w:r>
        <w:rPr>
          <w:rFonts w:hint="eastAsia" w:ascii="黑体" w:hAnsi="黑体" w:eastAsia="黑体" w:cs="宋体"/>
          <w:color w:val="000000"/>
          <w:kern w:val="0"/>
          <w:sz w:val="44"/>
          <w:szCs w:val="44"/>
        </w:rPr>
        <w:t>2</w:t>
      </w:r>
      <w:r>
        <w:rPr>
          <w:rFonts w:ascii="黑体" w:hAnsi="黑体" w:eastAsia="黑体" w:cs="宋体"/>
          <w:color w:val="000000"/>
          <w:kern w:val="0"/>
          <w:sz w:val="44"/>
          <w:szCs w:val="44"/>
        </w:rPr>
        <w:t>023</w:t>
      </w:r>
      <w:r>
        <w:rPr>
          <w:rFonts w:hint="eastAsia" w:ascii="黑体" w:hAnsi="黑体" w:eastAsia="黑体" w:cs="宋体"/>
          <w:color w:val="000000"/>
          <w:kern w:val="0"/>
          <w:sz w:val="44"/>
          <w:szCs w:val="44"/>
        </w:rPr>
        <w:t>年</w:t>
      </w:r>
      <w:r>
        <w:rPr>
          <w:rFonts w:ascii="黑体" w:hAnsi="黑体" w:eastAsia="黑体" w:cs="宋体"/>
          <w:color w:val="000000"/>
          <w:kern w:val="0"/>
          <w:sz w:val="44"/>
          <w:szCs w:val="44"/>
        </w:rPr>
        <w:t>7</w:t>
      </w:r>
      <w:r>
        <w:rPr>
          <w:rFonts w:hint="eastAsia" w:ascii="黑体" w:hAnsi="黑体" w:eastAsia="黑体" w:cs="宋体"/>
          <w:color w:val="000000"/>
          <w:kern w:val="0"/>
          <w:sz w:val="44"/>
          <w:szCs w:val="44"/>
        </w:rPr>
        <w:t>月</w:t>
      </w:r>
    </w:p>
    <w:p>
      <w:pPr>
        <w:widowControl/>
        <w:jc w:val="center"/>
        <w:rPr>
          <w:rFonts w:ascii="黑体" w:hAnsi="黑体" w:eastAsia="黑体" w:cs="Times New Roman"/>
          <w:sz w:val="32"/>
          <w:szCs w:val="32"/>
        </w:rPr>
      </w:pPr>
      <w:r>
        <w:rPr>
          <w:rFonts w:ascii="黑体" w:hAnsi="黑体" w:eastAsia="黑体" w:cs="Times New Roman"/>
          <w:sz w:val="32"/>
          <w:szCs w:val="32"/>
        </w:rPr>
        <w:br w:type="page"/>
      </w:r>
    </w:p>
    <w:p>
      <w:pPr>
        <w:autoSpaceDE w:val="0"/>
        <w:autoSpaceDN w:val="0"/>
        <w:adjustRightInd w:val="0"/>
        <w:spacing w:line="720" w:lineRule="auto"/>
        <w:jc w:val="center"/>
        <w:rPr>
          <w:rFonts w:ascii="方正小标宋简体" w:hAnsi="黑体" w:eastAsia="方正小标宋简体" w:cs="Times New Roman"/>
          <w:sz w:val="32"/>
          <w:szCs w:val="32"/>
        </w:rPr>
      </w:pPr>
      <w:r>
        <w:rPr>
          <w:rFonts w:hint="eastAsia" w:ascii="方正小标宋简体" w:hAnsi="黑体" w:eastAsia="方正小标宋简体" w:cs="Times New Roman"/>
          <w:sz w:val="32"/>
          <w:szCs w:val="32"/>
        </w:rPr>
        <w:t>《海鲜预制菜通用要求》</w:t>
      </w:r>
    </w:p>
    <w:p>
      <w:pPr>
        <w:autoSpaceDE w:val="0"/>
        <w:autoSpaceDN w:val="0"/>
        <w:adjustRightInd w:val="0"/>
        <w:spacing w:line="720" w:lineRule="auto"/>
        <w:jc w:val="center"/>
        <w:rPr>
          <w:rFonts w:ascii="方正小标宋简体" w:hAnsi="黑体" w:eastAsia="方正小标宋简体" w:cs="Times New Roman"/>
          <w:sz w:val="32"/>
          <w:szCs w:val="32"/>
        </w:rPr>
      </w:pPr>
      <w:r>
        <w:rPr>
          <w:rFonts w:hint="eastAsia" w:ascii="方正小标宋简体" w:hAnsi="黑体" w:eastAsia="方正小标宋简体" w:cs="Times New Roman"/>
          <w:sz w:val="32"/>
          <w:szCs w:val="32"/>
        </w:rPr>
        <w:t>编制说明</w:t>
      </w:r>
    </w:p>
    <w:p>
      <w:pPr>
        <w:pStyle w:val="21"/>
        <w:numPr>
          <w:ilvl w:val="0"/>
          <w:numId w:val="4"/>
        </w:numPr>
        <w:spacing w:before="93" w:after="93"/>
        <w:ind w:firstLineChars="0"/>
      </w:pPr>
      <w:r>
        <w:rPr>
          <w:rFonts w:hint="eastAsia"/>
        </w:rPr>
        <w:t>工作简介</w:t>
      </w:r>
    </w:p>
    <w:p>
      <w:pPr>
        <w:pStyle w:val="22"/>
        <w:ind w:firstLine="600"/>
        <w:rPr>
          <w:color w:val="000000" w:themeColor="text1"/>
          <w14:textFill>
            <w14:solidFill>
              <w14:schemeClr w14:val="tx1"/>
            </w14:solidFill>
          </w14:textFill>
        </w:rPr>
      </w:pPr>
      <w:r>
        <w:rPr>
          <w:color w:val="000000" w:themeColor="text1"/>
          <w14:textFill>
            <w14:solidFill>
              <w14:schemeClr w14:val="tx1"/>
            </w14:solidFill>
          </w14:textFill>
        </w:rPr>
        <w:t>（一）</w:t>
      </w:r>
      <w:r>
        <w:rPr>
          <w:rFonts w:hint="eastAsia"/>
          <w:color w:val="000000" w:themeColor="text1"/>
          <w14:textFill>
            <w14:solidFill>
              <w14:schemeClr w14:val="tx1"/>
            </w14:solidFill>
          </w14:textFill>
        </w:rPr>
        <w:t>任务来源</w:t>
      </w:r>
    </w:p>
    <w:p>
      <w:pPr>
        <w:pStyle w:val="23"/>
        <w:ind w:firstLine="560"/>
        <w:rPr>
          <w:rFonts w:ascii="Times New Roman" w:cs="仿宋_GB2312"/>
          <w:szCs w:val="32"/>
        </w:rPr>
      </w:pPr>
      <w:r>
        <w:rPr>
          <w:rFonts w:hint="eastAsia" w:ascii="Times New Roman" w:cs="仿宋_GB2312"/>
          <w:szCs w:val="32"/>
        </w:rPr>
        <w:t>根据大连市市场监督管理局下达的《关于下达202</w:t>
      </w:r>
      <w:r>
        <w:rPr>
          <w:rFonts w:ascii="Times New Roman" w:cs="仿宋_GB2312"/>
          <w:szCs w:val="32"/>
        </w:rPr>
        <w:t>3</w:t>
      </w:r>
      <w:r>
        <w:rPr>
          <w:rFonts w:hint="eastAsia" w:ascii="Times New Roman" w:cs="仿宋_GB2312"/>
          <w:szCs w:val="32"/>
        </w:rPr>
        <w:t>年大连市地方标准立项计划的通知》（大市监〔202</w:t>
      </w:r>
      <w:r>
        <w:rPr>
          <w:rFonts w:ascii="Times New Roman" w:cs="仿宋_GB2312"/>
          <w:szCs w:val="32"/>
        </w:rPr>
        <w:t>3</w:t>
      </w:r>
      <w:r>
        <w:rPr>
          <w:rFonts w:hint="eastAsia" w:ascii="Times New Roman" w:cs="仿宋_GB2312"/>
          <w:szCs w:val="32"/>
        </w:rPr>
        <w:t>〕</w:t>
      </w:r>
      <w:r>
        <w:rPr>
          <w:rFonts w:ascii="Times New Roman" w:cs="仿宋_GB2312"/>
          <w:szCs w:val="32"/>
        </w:rPr>
        <w:t>31</w:t>
      </w:r>
      <w:r>
        <w:rPr>
          <w:rFonts w:hint="eastAsia" w:ascii="Times New Roman" w:cs="仿宋_GB2312"/>
          <w:szCs w:val="32"/>
        </w:rPr>
        <w:t>号），批准《海鲜预制菜通用要求》地方标准的制定，标准立项编号为“202</w:t>
      </w:r>
      <w:r>
        <w:rPr>
          <w:rFonts w:ascii="Times New Roman" w:cs="仿宋_GB2312"/>
          <w:szCs w:val="32"/>
        </w:rPr>
        <w:t>3</w:t>
      </w:r>
      <w:r>
        <w:rPr>
          <w:rFonts w:hint="eastAsia" w:ascii="Times New Roman" w:cs="仿宋_GB2312"/>
          <w:szCs w:val="32"/>
        </w:rPr>
        <w:t>0</w:t>
      </w:r>
      <w:r>
        <w:rPr>
          <w:rFonts w:ascii="Times New Roman" w:cs="仿宋_GB2312"/>
          <w:szCs w:val="32"/>
        </w:rPr>
        <w:t>2</w:t>
      </w:r>
      <w:r>
        <w:rPr>
          <w:rFonts w:hint="eastAsia" w:ascii="Times New Roman" w:cs="仿宋_GB2312"/>
          <w:szCs w:val="32"/>
          <w:lang w:val="en-US" w:eastAsia="zh-CN"/>
        </w:rPr>
        <w:t>8</w:t>
      </w:r>
      <w:r>
        <w:rPr>
          <w:rFonts w:hint="eastAsia" w:ascii="Times New Roman" w:cs="仿宋_GB2312"/>
          <w:szCs w:val="32"/>
        </w:rPr>
        <w:t>”,该项目由大连市市场监督管理局提出并归口。</w:t>
      </w:r>
    </w:p>
    <w:p>
      <w:pPr>
        <w:pStyle w:val="22"/>
        <w:ind w:firstLine="600"/>
        <w:rPr>
          <w:color w:val="auto"/>
        </w:rPr>
      </w:pPr>
      <w:r>
        <w:rPr>
          <w:color w:val="auto"/>
        </w:rPr>
        <w:t>（二）</w:t>
      </w:r>
      <w:r>
        <w:rPr>
          <w:rFonts w:hint="eastAsia"/>
          <w:color w:val="auto"/>
        </w:rPr>
        <w:t>制定标准的必要性和意义</w:t>
      </w:r>
    </w:p>
    <w:p>
      <w:pPr>
        <w:kinsoku w:val="0"/>
        <w:autoSpaceDE w:val="0"/>
        <w:autoSpaceDN w:val="0"/>
        <w:adjustRightInd w:val="0"/>
        <w:snapToGrid w:val="0"/>
        <w:spacing w:line="360" w:lineRule="auto"/>
        <w:ind w:firstLine="560" w:firstLineChars="200"/>
        <w:jc w:val="left"/>
        <w:textAlignment w:val="baseline"/>
        <w:rPr>
          <w:rFonts w:hint="eastAsia" w:ascii="宋体" w:hAnsi="Times New Roman" w:eastAsia="仿宋_GB2312" w:cs="Times New Roman"/>
          <w:kern w:val="0"/>
          <w:sz w:val="28"/>
          <w:szCs w:val="20"/>
          <w:lang w:val="en-US" w:eastAsia="zh-CN"/>
        </w:rPr>
      </w:pPr>
      <w:r>
        <w:rPr>
          <w:rFonts w:hint="eastAsia" w:ascii="宋体" w:hAnsi="Times New Roman" w:eastAsia="仿宋_GB2312" w:cs="Times New Roman"/>
          <w:kern w:val="0"/>
          <w:sz w:val="28"/>
          <w:szCs w:val="20"/>
          <w:lang w:val="en-US" w:eastAsia="zh-CN"/>
        </w:rPr>
        <w:t>（1）必要性</w:t>
      </w:r>
    </w:p>
    <w:p>
      <w:pPr>
        <w:kinsoku w:val="0"/>
        <w:autoSpaceDE w:val="0"/>
        <w:autoSpaceDN w:val="0"/>
        <w:adjustRightInd w:val="0"/>
        <w:snapToGrid w:val="0"/>
        <w:spacing w:line="360" w:lineRule="auto"/>
        <w:ind w:firstLine="560" w:firstLineChars="200"/>
        <w:jc w:val="left"/>
        <w:textAlignment w:val="baseline"/>
        <w:rPr>
          <w:rFonts w:hint="eastAsia" w:ascii="宋体" w:hAnsi="Times New Roman" w:eastAsia="仿宋_GB2312" w:cs="Times New Roman"/>
          <w:kern w:val="0"/>
          <w:sz w:val="28"/>
          <w:szCs w:val="20"/>
          <w:lang w:eastAsia="zh-CN"/>
        </w:rPr>
      </w:pPr>
      <w:r>
        <w:rPr>
          <w:rFonts w:hint="eastAsia" w:ascii="宋体" w:hAnsi="Times New Roman" w:eastAsia="仿宋_GB2312" w:cs="Times New Roman"/>
          <w:kern w:val="0"/>
          <w:sz w:val="28"/>
          <w:szCs w:val="20"/>
        </w:rPr>
        <w:t>随着预制菜产业的快速发展，产品同质化、品质参差不齐、质量安全标准不一等问题严重阻碍了预制菜产业的健康发展。预制菜行业准入门槛低，企业规模小、分布散，品牌化程度低，加剧了行业规范难度；</w:t>
      </w:r>
      <w:r>
        <w:rPr>
          <w:rFonts w:hint="eastAsia" w:ascii="宋体" w:hAnsi="Times New Roman" w:eastAsia="仿宋_GB2312" w:cs="Times New Roman"/>
          <w:kern w:val="0"/>
          <w:sz w:val="28"/>
          <w:szCs w:val="20"/>
          <w:lang w:val="en-US" w:eastAsia="zh-CN"/>
        </w:rPr>
        <w:t>同时预制菜</w:t>
      </w:r>
      <w:r>
        <w:rPr>
          <w:rFonts w:hint="eastAsia" w:ascii="宋体" w:hAnsi="Times New Roman" w:eastAsia="仿宋_GB2312" w:cs="Times New Roman"/>
          <w:kern w:val="0"/>
          <w:sz w:val="28"/>
          <w:szCs w:val="20"/>
        </w:rPr>
        <w:t>产业链各环节缺乏统一的质量安全标准；运输环节发展水平整体偏低，相应的运输标准缺失，制约了预制菜企业布局全国市场；销售环节上预制菜产品信息知情标准缺失，消费者缺乏售后维权索证追责的依据；专门化的预制菜监管保障体系不健全。大连作为我国海鲜预制菜之都，产业逐渐扩大与升级，亟需针对海鲜预制菜产业制定从生产、加工、贮存、经营</w:t>
      </w:r>
      <w:r>
        <w:rPr>
          <w:rFonts w:hint="eastAsia" w:ascii="宋体" w:hAnsi="Times New Roman" w:eastAsia="仿宋_GB2312" w:cs="Times New Roman"/>
          <w:kern w:val="0"/>
          <w:sz w:val="28"/>
          <w:szCs w:val="20"/>
          <w:lang w:val="en-US" w:eastAsia="zh-CN"/>
        </w:rPr>
        <w:t>等</w:t>
      </w:r>
      <w:r>
        <w:rPr>
          <w:rFonts w:hint="eastAsia" w:ascii="宋体" w:hAnsi="Times New Roman" w:eastAsia="仿宋_GB2312" w:cs="Times New Roman"/>
          <w:kern w:val="0"/>
          <w:sz w:val="28"/>
          <w:szCs w:val="20"/>
        </w:rPr>
        <w:t>一系列标准，提高产品质量，规范行业有序发展</w:t>
      </w:r>
      <w:r>
        <w:rPr>
          <w:rFonts w:hint="eastAsia" w:ascii="宋体" w:hAnsi="Times New Roman" w:eastAsia="仿宋_GB2312" w:cs="Times New Roman"/>
          <w:kern w:val="0"/>
          <w:sz w:val="28"/>
          <w:szCs w:val="20"/>
          <w:lang w:eastAsia="zh-CN"/>
        </w:rPr>
        <w:t>。</w:t>
      </w:r>
    </w:p>
    <w:p>
      <w:pPr>
        <w:numPr>
          <w:ilvl w:val="0"/>
          <w:numId w:val="5"/>
        </w:numPr>
        <w:kinsoku w:val="0"/>
        <w:autoSpaceDE w:val="0"/>
        <w:autoSpaceDN w:val="0"/>
        <w:adjustRightInd w:val="0"/>
        <w:snapToGrid w:val="0"/>
        <w:spacing w:line="360" w:lineRule="auto"/>
        <w:ind w:firstLine="560" w:firstLineChars="200"/>
        <w:jc w:val="left"/>
        <w:textAlignment w:val="baseline"/>
        <w:rPr>
          <w:rFonts w:hint="eastAsia" w:ascii="宋体" w:hAnsi="Times New Roman" w:eastAsia="仿宋_GB2312" w:cs="Times New Roman"/>
          <w:kern w:val="0"/>
          <w:sz w:val="28"/>
          <w:szCs w:val="20"/>
          <w:lang w:val="en-US" w:eastAsia="zh-CN"/>
        </w:rPr>
      </w:pPr>
      <w:r>
        <w:rPr>
          <w:rFonts w:hint="eastAsia" w:ascii="宋体" w:hAnsi="Times New Roman" w:eastAsia="仿宋_GB2312" w:cs="Times New Roman"/>
          <w:kern w:val="0"/>
          <w:sz w:val="28"/>
          <w:szCs w:val="20"/>
          <w:lang w:val="en-US" w:eastAsia="zh-CN"/>
        </w:rPr>
        <w:t>意义</w:t>
      </w:r>
    </w:p>
    <w:p>
      <w:pPr>
        <w:keepNext w:val="0"/>
        <w:keepLines w:val="0"/>
        <w:pageBreakBefore w:val="0"/>
        <w:widowControl w:val="0"/>
        <w:numPr>
          <w:numId w:val="0"/>
        </w:numPr>
        <w:kinsoku w:val="0"/>
        <w:wordWrap/>
        <w:overflowPunct/>
        <w:topLinePunct w:val="0"/>
        <w:autoSpaceDE w:val="0"/>
        <w:autoSpaceDN w:val="0"/>
        <w:bidi w:val="0"/>
        <w:adjustRightInd w:val="0"/>
        <w:snapToGrid w:val="0"/>
        <w:spacing w:line="360" w:lineRule="auto"/>
        <w:ind w:firstLine="560" w:firstLineChars="200"/>
        <w:jc w:val="left"/>
        <w:textAlignment w:val="baseline"/>
        <w:rPr>
          <w:rFonts w:hint="default" w:ascii="宋体" w:hAnsi="Times New Roman" w:eastAsia="仿宋_GB2312" w:cs="Times New Roman"/>
          <w:kern w:val="0"/>
          <w:sz w:val="28"/>
          <w:szCs w:val="20"/>
          <w:lang w:val="en-US" w:eastAsia="zh-CN"/>
        </w:rPr>
      </w:pPr>
      <w:r>
        <w:rPr>
          <w:rFonts w:hint="eastAsia" w:ascii="宋体" w:hAnsi="Times New Roman" w:eastAsia="仿宋_GB2312" w:cs="Times New Roman"/>
          <w:kern w:val="0"/>
          <w:sz w:val="28"/>
          <w:szCs w:val="20"/>
          <w:lang w:val="en-US" w:eastAsia="zh-CN"/>
        </w:rPr>
        <w:t>①</w:t>
      </w:r>
      <w:r>
        <w:rPr>
          <w:rFonts w:hint="default" w:ascii="宋体" w:hAnsi="Times New Roman" w:eastAsia="仿宋_GB2312" w:cs="Times New Roman"/>
          <w:kern w:val="0"/>
          <w:sz w:val="28"/>
          <w:szCs w:val="20"/>
          <w:lang w:val="en-US" w:eastAsia="zh-CN"/>
        </w:rPr>
        <w:t>保障食品安全：海鲜预制菜是一种常见的食品，其质量和安全对消费者的健康至关重要。制定标准可以规范海鲜预制菜的生产过程和质量要求，确保食品安全，减少食品安全事故的发生。</w:t>
      </w:r>
    </w:p>
    <w:p>
      <w:pPr>
        <w:keepNext w:val="0"/>
        <w:keepLines w:val="0"/>
        <w:pageBreakBefore w:val="0"/>
        <w:widowControl w:val="0"/>
        <w:numPr>
          <w:numId w:val="0"/>
        </w:numPr>
        <w:kinsoku w:val="0"/>
        <w:wordWrap/>
        <w:overflowPunct/>
        <w:topLinePunct w:val="0"/>
        <w:autoSpaceDE w:val="0"/>
        <w:autoSpaceDN w:val="0"/>
        <w:bidi w:val="0"/>
        <w:adjustRightInd w:val="0"/>
        <w:snapToGrid w:val="0"/>
        <w:spacing w:line="360" w:lineRule="auto"/>
        <w:ind w:firstLine="560" w:firstLineChars="200"/>
        <w:jc w:val="left"/>
        <w:textAlignment w:val="baseline"/>
        <w:rPr>
          <w:rFonts w:hint="default" w:ascii="宋体" w:hAnsi="Times New Roman" w:eastAsia="仿宋_GB2312" w:cs="Times New Roman"/>
          <w:kern w:val="0"/>
          <w:sz w:val="28"/>
          <w:szCs w:val="20"/>
          <w:lang w:val="en-US" w:eastAsia="zh-CN"/>
        </w:rPr>
      </w:pPr>
      <w:r>
        <w:rPr>
          <w:rFonts w:hint="eastAsia" w:ascii="宋体" w:hAnsi="Times New Roman" w:eastAsia="仿宋_GB2312" w:cs="Times New Roman"/>
          <w:kern w:val="0"/>
          <w:sz w:val="28"/>
          <w:szCs w:val="20"/>
          <w:lang w:val="en-US" w:eastAsia="zh-CN"/>
        </w:rPr>
        <w:t>②</w:t>
      </w:r>
      <w:r>
        <w:rPr>
          <w:rFonts w:hint="default" w:ascii="宋体" w:hAnsi="Times New Roman" w:eastAsia="仿宋_GB2312" w:cs="Times New Roman"/>
          <w:kern w:val="0"/>
          <w:sz w:val="28"/>
          <w:szCs w:val="20"/>
          <w:lang w:val="en-US" w:eastAsia="zh-CN"/>
        </w:rPr>
        <w:t>提高产品质量：标准可以明确海鲜预制菜的原材料选择、加工工艺、储存条件等要求，有助于提高产品的质量稳定性和一致性。通过标准的制定和执行，可以提高海鲜预制菜的口感、营养价值和风味，满足消费者的需求。</w:t>
      </w:r>
    </w:p>
    <w:p>
      <w:pPr>
        <w:keepNext w:val="0"/>
        <w:keepLines w:val="0"/>
        <w:pageBreakBefore w:val="0"/>
        <w:widowControl w:val="0"/>
        <w:numPr>
          <w:numId w:val="0"/>
        </w:numPr>
        <w:kinsoku w:val="0"/>
        <w:wordWrap/>
        <w:overflowPunct/>
        <w:topLinePunct w:val="0"/>
        <w:autoSpaceDE w:val="0"/>
        <w:autoSpaceDN w:val="0"/>
        <w:bidi w:val="0"/>
        <w:adjustRightInd w:val="0"/>
        <w:snapToGrid w:val="0"/>
        <w:spacing w:line="360" w:lineRule="auto"/>
        <w:ind w:firstLine="560" w:firstLineChars="200"/>
        <w:jc w:val="left"/>
        <w:textAlignment w:val="baseline"/>
        <w:rPr>
          <w:rFonts w:hint="default" w:ascii="宋体" w:hAnsi="Times New Roman" w:eastAsia="仿宋_GB2312" w:cs="Times New Roman"/>
          <w:kern w:val="0"/>
          <w:sz w:val="28"/>
          <w:szCs w:val="20"/>
          <w:lang w:val="en-US" w:eastAsia="zh-CN"/>
        </w:rPr>
      </w:pPr>
      <w:r>
        <w:rPr>
          <w:rFonts w:hint="eastAsia" w:ascii="宋体" w:hAnsi="Times New Roman" w:eastAsia="仿宋_GB2312" w:cs="Times New Roman"/>
          <w:kern w:val="0"/>
          <w:sz w:val="28"/>
          <w:szCs w:val="20"/>
          <w:lang w:val="en-US" w:eastAsia="zh-CN"/>
        </w:rPr>
        <w:t>③</w:t>
      </w:r>
      <w:r>
        <w:rPr>
          <w:rFonts w:hint="default" w:ascii="宋体" w:hAnsi="Times New Roman" w:eastAsia="仿宋_GB2312" w:cs="Times New Roman"/>
          <w:kern w:val="0"/>
          <w:sz w:val="28"/>
          <w:szCs w:val="20"/>
          <w:lang w:val="en-US" w:eastAsia="zh-CN"/>
        </w:rPr>
        <w:t>促进行业发展：标准的制定可以推动海鲜预制菜行业的规范化发展</w:t>
      </w:r>
      <w:r>
        <w:rPr>
          <w:rFonts w:hint="eastAsia" w:ascii="宋体" w:hAnsi="Times New Roman" w:eastAsia="仿宋_GB2312" w:cs="Times New Roman"/>
          <w:kern w:val="0"/>
          <w:sz w:val="28"/>
          <w:szCs w:val="20"/>
          <w:lang w:val="en-US" w:eastAsia="zh-CN"/>
        </w:rPr>
        <w:t>，</w:t>
      </w:r>
      <w:r>
        <w:rPr>
          <w:rFonts w:hint="default" w:ascii="宋体" w:hAnsi="Times New Roman" w:eastAsia="仿宋_GB2312" w:cs="Times New Roman"/>
          <w:kern w:val="0"/>
          <w:sz w:val="28"/>
          <w:szCs w:val="20"/>
          <w:lang w:val="en-US" w:eastAsia="zh-CN"/>
        </w:rPr>
        <w:t>统一行业的生产标准和质量要求，提高行业的整体水平，促进行业的竞争力和可持续发展。</w:t>
      </w:r>
    </w:p>
    <w:p>
      <w:pPr>
        <w:keepNext w:val="0"/>
        <w:keepLines w:val="0"/>
        <w:pageBreakBefore w:val="0"/>
        <w:widowControl w:val="0"/>
        <w:numPr>
          <w:numId w:val="0"/>
        </w:numPr>
        <w:kinsoku w:val="0"/>
        <w:wordWrap/>
        <w:overflowPunct/>
        <w:topLinePunct w:val="0"/>
        <w:autoSpaceDE w:val="0"/>
        <w:autoSpaceDN w:val="0"/>
        <w:bidi w:val="0"/>
        <w:adjustRightInd w:val="0"/>
        <w:snapToGrid w:val="0"/>
        <w:spacing w:line="360" w:lineRule="auto"/>
        <w:ind w:firstLine="560" w:firstLineChars="200"/>
        <w:jc w:val="left"/>
        <w:textAlignment w:val="baseline"/>
        <w:rPr>
          <w:rFonts w:hint="default" w:ascii="宋体" w:hAnsi="Times New Roman" w:eastAsia="仿宋_GB2312" w:cs="Times New Roman"/>
          <w:kern w:val="0"/>
          <w:sz w:val="28"/>
          <w:szCs w:val="20"/>
          <w:lang w:val="en-US" w:eastAsia="zh-CN"/>
        </w:rPr>
      </w:pPr>
      <w:r>
        <w:rPr>
          <w:rFonts w:hint="eastAsia" w:ascii="宋体" w:hAnsi="Times New Roman" w:eastAsia="仿宋_GB2312" w:cs="Times New Roman"/>
          <w:kern w:val="0"/>
          <w:sz w:val="28"/>
          <w:szCs w:val="20"/>
          <w:lang w:val="en-US" w:eastAsia="zh-CN"/>
        </w:rPr>
        <w:t>④</w:t>
      </w:r>
      <w:r>
        <w:rPr>
          <w:rFonts w:hint="default" w:ascii="宋体" w:hAnsi="Times New Roman" w:eastAsia="仿宋_GB2312" w:cs="Times New Roman"/>
          <w:kern w:val="0"/>
          <w:sz w:val="28"/>
          <w:szCs w:val="20"/>
          <w:lang w:val="en-US" w:eastAsia="zh-CN"/>
        </w:rPr>
        <w:t>便于监管和管理：标准可以为监管部门提供依据，便于对海鲜预制菜的生产和销售进行监管和管理。明确责任主体和监管要求，加强对行业的监督和检查，减少违法违规行为的发生。</w:t>
      </w:r>
    </w:p>
    <w:p>
      <w:pPr>
        <w:keepNext w:val="0"/>
        <w:keepLines w:val="0"/>
        <w:pageBreakBefore w:val="0"/>
        <w:widowControl w:val="0"/>
        <w:numPr>
          <w:numId w:val="0"/>
        </w:numPr>
        <w:kinsoku w:val="0"/>
        <w:wordWrap/>
        <w:overflowPunct/>
        <w:topLinePunct w:val="0"/>
        <w:autoSpaceDE w:val="0"/>
        <w:autoSpaceDN w:val="0"/>
        <w:bidi w:val="0"/>
        <w:adjustRightInd w:val="0"/>
        <w:snapToGrid w:val="0"/>
        <w:spacing w:line="360" w:lineRule="auto"/>
        <w:ind w:firstLine="560" w:firstLineChars="200"/>
        <w:jc w:val="left"/>
        <w:textAlignment w:val="baseline"/>
        <w:rPr>
          <w:rFonts w:hint="default" w:ascii="宋体" w:hAnsi="Times New Roman" w:eastAsia="仿宋_GB2312" w:cs="Times New Roman"/>
          <w:kern w:val="0"/>
          <w:sz w:val="28"/>
          <w:szCs w:val="20"/>
          <w:lang w:val="en-US" w:eastAsia="zh-CN"/>
        </w:rPr>
      </w:pPr>
      <w:r>
        <w:rPr>
          <w:rFonts w:hint="eastAsia" w:ascii="宋体" w:hAnsi="Times New Roman" w:eastAsia="仿宋_GB2312" w:cs="Times New Roman"/>
          <w:kern w:val="0"/>
          <w:sz w:val="28"/>
          <w:szCs w:val="20"/>
          <w:lang w:val="en-US" w:eastAsia="zh-CN"/>
        </w:rPr>
        <w:t>⑥</w:t>
      </w:r>
      <w:r>
        <w:rPr>
          <w:rFonts w:hint="default" w:ascii="宋体" w:hAnsi="Times New Roman" w:eastAsia="仿宋_GB2312" w:cs="Times New Roman"/>
          <w:kern w:val="0"/>
          <w:sz w:val="28"/>
          <w:szCs w:val="20"/>
          <w:lang w:val="en-US" w:eastAsia="zh-CN"/>
        </w:rPr>
        <w:t>促进国际贸易：制定符合国际标准的海鲜预制菜标准，有助于提高我国海鲜预制菜的国际竞争力，促进海鲜预制菜的出口。标准可以与国际标准接轨，提高产品的质量和安全水平，增加国际市场的准入机会。</w:t>
      </w:r>
    </w:p>
    <w:p>
      <w:pPr>
        <w:pStyle w:val="22"/>
        <w:ind w:firstLine="600"/>
        <w:rPr>
          <w:rFonts w:hint="eastAsia" w:eastAsia="楷体_GB2312"/>
          <w:lang w:eastAsia="zh-CN"/>
        </w:rPr>
      </w:pPr>
      <w:r>
        <w:rPr>
          <w:rFonts w:hint="eastAsia"/>
        </w:rPr>
        <w:t>（三）</w:t>
      </w:r>
      <w:r>
        <w:rPr>
          <w:rFonts w:hint="eastAsia"/>
          <w:color w:val="auto"/>
        </w:rPr>
        <w:t>起草单位</w:t>
      </w:r>
      <w:r>
        <w:rPr>
          <w:rFonts w:hint="eastAsia"/>
          <w:color w:val="auto"/>
          <w:lang w:eastAsia="zh-CN"/>
        </w:rPr>
        <w:t>、</w:t>
      </w:r>
      <w:r>
        <w:rPr>
          <w:rFonts w:hint="eastAsia"/>
        </w:rPr>
        <w:t>协作单位</w:t>
      </w:r>
    </w:p>
    <w:p>
      <w:pPr>
        <w:pStyle w:val="23"/>
        <w:ind w:firstLine="560"/>
        <w:rPr>
          <w:rFonts w:hint="eastAsia"/>
        </w:rPr>
      </w:pPr>
      <w:r>
        <w:rPr>
          <w:rFonts w:hint="eastAsia"/>
        </w:rPr>
        <w:t>起草单位：大连标准认证研究院有限公司</w:t>
      </w:r>
    </w:p>
    <w:p>
      <w:pPr>
        <w:pStyle w:val="23"/>
        <w:ind w:firstLine="560"/>
        <w:rPr>
          <w:rFonts w:hint="eastAsia" w:eastAsia="仿宋_GB2312"/>
          <w:lang w:eastAsia="zh-CN"/>
        </w:rPr>
      </w:pPr>
      <w:r>
        <w:rPr>
          <w:rFonts w:hint="eastAsia"/>
        </w:rPr>
        <w:t>协作单位</w:t>
      </w:r>
      <w:r>
        <w:rPr>
          <w:rFonts w:hint="eastAsia"/>
          <w:lang w:eastAsia="zh-CN"/>
        </w:rPr>
        <w:t>：</w:t>
      </w:r>
      <w:r>
        <w:rPr>
          <w:rFonts w:hint="eastAsia"/>
        </w:rPr>
        <w:t>大连工业大学</w:t>
      </w:r>
      <w:r>
        <w:rPr>
          <w:rFonts w:hint="eastAsia"/>
          <w:lang w:eastAsia="zh-CN"/>
        </w:rPr>
        <w:t>、</w:t>
      </w:r>
      <w:r>
        <w:rPr>
          <w:rFonts w:hint="eastAsia"/>
        </w:rPr>
        <w:t>大连海洋大学</w:t>
      </w:r>
    </w:p>
    <w:p>
      <w:pPr>
        <w:pStyle w:val="22"/>
        <w:ind w:firstLine="600"/>
      </w:pPr>
      <w:r>
        <w:rPr>
          <w:rFonts w:hint="eastAsia"/>
        </w:rPr>
        <w:t>（四）</w:t>
      </w:r>
      <w:r>
        <w:rPr>
          <w:rFonts w:hint="eastAsia"/>
          <w:color w:val="auto"/>
        </w:rPr>
        <w:t>主要起草人</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1"/>
        <w:gridCol w:w="1681"/>
        <w:gridCol w:w="1719"/>
        <w:gridCol w:w="1719"/>
        <w:gridCol w:w="1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86" w:type="pct"/>
            <w:vAlign w:val="center"/>
          </w:tcPr>
          <w:p>
            <w:pPr>
              <w:jc w:val="center"/>
              <w:rPr>
                <w:rFonts w:hint="eastAsia" w:ascii="宋体" w:hAnsi="宋体" w:eastAsia="宋体"/>
                <w:lang w:eastAsia="zh-CN"/>
              </w:rPr>
            </w:pPr>
            <w:r>
              <w:rPr>
                <w:rFonts w:hint="eastAsia" w:ascii="宋体" w:hAnsi="宋体" w:eastAsia="宋体"/>
                <w:lang w:val="en-US" w:eastAsia="zh-CN"/>
              </w:rPr>
              <w:t>姓名</w:t>
            </w:r>
          </w:p>
        </w:tc>
        <w:tc>
          <w:tcPr>
            <w:tcW w:w="986" w:type="pct"/>
            <w:vAlign w:val="center"/>
          </w:tcPr>
          <w:p>
            <w:pPr>
              <w:jc w:val="center"/>
              <w:rPr>
                <w:rFonts w:hint="eastAsia" w:ascii="宋体" w:hAnsi="宋体" w:eastAsia="宋体"/>
                <w:lang w:eastAsia="zh-CN"/>
              </w:rPr>
            </w:pPr>
            <w:r>
              <w:rPr>
                <w:rFonts w:hint="eastAsia" w:ascii="宋体" w:hAnsi="宋体" w:eastAsia="宋体"/>
                <w:lang w:val="en-US" w:eastAsia="zh-CN"/>
              </w:rPr>
              <w:t>性别</w:t>
            </w:r>
          </w:p>
        </w:tc>
        <w:tc>
          <w:tcPr>
            <w:tcW w:w="1008" w:type="pct"/>
            <w:vAlign w:val="center"/>
          </w:tcPr>
          <w:p>
            <w:pPr>
              <w:jc w:val="center"/>
              <w:rPr>
                <w:rFonts w:hint="default" w:ascii="宋体" w:hAnsi="宋体" w:eastAsia="宋体"/>
                <w:lang w:val="en-US" w:eastAsia="zh-CN"/>
              </w:rPr>
            </w:pPr>
            <w:r>
              <w:rPr>
                <w:rFonts w:hint="eastAsia" w:ascii="宋体" w:hAnsi="宋体" w:eastAsia="宋体"/>
                <w:lang w:val="en-US" w:eastAsia="zh-CN"/>
              </w:rPr>
              <w:t>职务/职称</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工作单位</w:t>
            </w:r>
          </w:p>
        </w:tc>
        <w:tc>
          <w:tcPr>
            <w:tcW w:w="1008" w:type="pct"/>
            <w:vAlign w:val="center"/>
          </w:tcPr>
          <w:p>
            <w:pPr>
              <w:jc w:val="center"/>
              <w:rPr>
                <w:rFonts w:hint="default" w:ascii="宋体" w:hAnsi="宋体" w:eastAsia="宋体"/>
                <w:lang w:val="en-US" w:eastAsia="zh-CN"/>
              </w:rPr>
            </w:pPr>
            <w:r>
              <w:rPr>
                <w:rFonts w:hint="eastAsia" w:ascii="宋体" w:hAnsi="宋体" w:eastAsia="宋体"/>
                <w:lang w:val="en-US" w:eastAsia="zh-CN"/>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86" w:type="pct"/>
            <w:vAlign w:val="center"/>
          </w:tcPr>
          <w:p>
            <w:pPr>
              <w:jc w:val="center"/>
              <w:rPr>
                <w:rFonts w:hint="eastAsia" w:ascii="宋体" w:hAnsi="宋体" w:eastAsia="宋体"/>
                <w:lang w:val="en-US" w:eastAsia="zh-CN"/>
              </w:rPr>
            </w:pPr>
            <w:r>
              <w:rPr>
                <w:rFonts w:hint="eastAsia" w:ascii="宋体" w:hAnsi="宋体" w:eastAsia="宋体"/>
                <w:lang w:val="en-US" w:eastAsia="zh-CN"/>
              </w:rPr>
              <w:t>袁照路</w:t>
            </w:r>
          </w:p>
        </w:tc>
        <w:tc>
          <w:tcPr>
            <w:tcW w:w="986" w:type="pct"/>
            <w:vAlign w:val="center"/>
          </w:tcPr>
          <w:p>
            <w:pPr>
              <w:jc w:val="center"/>
              <w:rPr>
                <w:rFonts w:hint="eastAsia" w:ascii="宋体" w:hAnsi="宋体" w:eastAsia="宋体"/>
                <w:lang w:val="en-US" w:eastAsia="zh-CN"/>
              </w:rPr>
            </w:pPr>
            <w:r>
              <w:rPr>
                <w:rFonts w:hint="eastAsia" w:ascii="宋体" w:hAnsi="宋体" w:eastAsia="宋体"/>
                <w:lang w:val="en-US" w:eastAsia="zh-CN"/>
              </w:rPr>
              <w:t>男</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副部长</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大连标准认证研究院有限公司</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标准制定总负责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86" w:type="pct"/>
            <w:vAlign w:val="center"/>
          </w:tcPr>
          <w:p>
            <w:pPr>
              <w:jc w:val="center"/>
              <w:rPr>
                <w:rFonts w:hint="eastAsia" w:ascii="宋体" w:hAnsi="宋体" w:eastAsia="宋体"/>
                <w:lang w:val="en-US" w:eastAsia="zh-CN"/>
              </w:rPr>
            </w:pPr>
            <w:r>
              <w:rPr>
                <w:rFonts w:hint="eastAsia" w:ascii="宋体" w:hAnsi="宋体" w:eastAsia="宋体"/>
                <w:lang w:val="en-US" w:eastAsia="zh-CN"/>
              </w:rPr>
              <w:t>王细凤</w:t>
            </w:r>
          </w:p>
        </w:tc>
        <w:tc>
          <w:tcPr>
            <w:tcW w:w="986" w:type="pct"/>
            <w:vAlign w:val="center"/>
          </w:tcPr>
          <w:p>
            <w:pPr>
              <w:jc w:val="center"/>
              <w:rPr>
                <w:rFonts w:hint="eastAsia" w:ascii="宋体" w:hAnsi="宋体" w:eastAsia="宋体"/>
                <w:lang w:val="en-US" w:eastAsia="zh-CN"/>
              </w:rPr>
            </w:pPr>
            <w:r>
              <w:rPr>
                <w:rFonts w:hint="eastAsia" w:ascii="宋体" w:hAnsi="宋体" w:eastAsia="宋体"/>
                <w:lang w:val="en-US" w:eastAsia="zh-CN"/>
              </w:rPr>
              <w:t>女</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标准化事业部负责人</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大连标准认证研究院有限公司</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技术审查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86" w:type="pct"/>
            <w:vAlign w:val="center"/>
          </w:tcPr>
          <w:p>
            <w:pPr>
              <w:jc w:val="center"/>
              <w:rPr>
                <w:rFonts w:hint="eastAsia" w:ascii="宋体" w:hAnsi="宋体" w:eastAsia="宋体"/>
                <w:lang w:val="en-US" w:eastAsia="zh-CN"/>
              </w:rPr>
            </w:pPr>
            <w:r>
              <w:rPr>
                <w:rFonts w:hint="eastAsia" w:ascii="宋体" w:hAnsi="宋体" w:eastAsia="宋体"/>
                <w:lang w:val="en-US" w:eastAsia="zh-CN"/>
              </w:rPr>
              <w:t>臧小惠</w:t>
            </w:r>
          </w:p>
        </w:tc>
        <w:tc>
          <w:tcPr>
            <w:tcW w:w="986" w:type="pct"/>
            <w:vAlign w:val="center"/>
          </w:tcPr>
          <w:p>
            <w:pPr>
              <w:jc w:val="center"/>
              <w:rPr>
                <w:rFonts w:hint="default" w:ascii="宋体" w:hAnsi="宋体" w:eastAsia="宋体"/>
                <w:lang w:val="en-US" w:eastAsia="zh-CN"/>
              </w:rPr>
            </w:pPr>
            <w:r>
              <w:rPr>
                <w:rFonts w:hint="eastAsia" w:ascii="宋体" w:hAnsi="宋体" w:eastAsia="宋体"/>
                <w:lang w:val="en-US" w:eastAsia="zh-CN"/>
              </w:rPr>
              <w:t>男</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总经理</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大连标准认证研究院有限公司</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全面协调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86" w:type="pct"/>
            <w:vAlign w:val="center"/>
          </w:tcPr>
          <w:p>
            <w:pPr>
              <w:jc w:val="center"/>
              <w:rPr>
                <w:rFonts w:hint="eastAsia" w:ascii="宋体" w:hAnsi="宋体" w:eastAsia="宋体"/>
                <w:lang w:val="en-US" w:eastAsia="zh-CN"/>
              </w:rPr>
            </w:pPr>
            <w:r>
              <w:rPr>
                <w:rFonts w:hint="eastAsia" w:ascii="宋体" w:hAnsi="宋体" w:eastAsia="宋体"/>
                <w:lang w:val="en-US" w:eastAsia="zh-CN"/>
              </w:rPr>
              <w:t>董秀萍</w:t>
            </w:r>
          </w:p>
        </w:tc>
        <w:tc>
          <w:tcPr>
            <w:tcW w:w="986" w:type="pct"/>
            <w:vAlign w:val="center"/>
          </w:tcPr>
          <w:p>
            <w:pPr>
              <w:jc w:val="center"/>
              <w:rPr>
                <w:rFonts w:hint="eastAsia" w:ascii="宋体" w:hAnsi="宋体" w:eastAsia="宋体"/>
                <w:lang w:val="en-US" w:eastAsia="zh-CN"/>
              </w:rPr>
            </w:pPr>
            <w:r>
              <w:rPr>
                <w:rFonts w:hint="eastAsia" w:ascii="宋体" w:hAnsi="宋体" w:eastAsia="宋体"/>
                <w:lang w:val="en-US" w:eastAsia="zh-CN"/>
              </w:rPr>
              <w:t>女</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教授</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大连工业大学</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86" w:type="pct"/>
            <w:vAlign w:val="center"/>
          </w:tcPr>
          <w:p>
            <w:pPr>
              <w:jc w:val="center"/>
              <w:rPr>
                <w:rFonts w:hint="eastAsia" w:ascii="宋体" w:hAnsi="宋体" w:eastAsia="宋体"/>
                <w:lang w:val="en-US" w:eastAsia="zh-CN"/>
              </w:rPr>
            </w:pPr>
            <w:r>
              <w:rPr>
                <w:rFonts w:hint="eastAsia" w:ascii="宋体" w:hAnsi="宋体" w:eastAsia="宋体"/>
                <w:lang w:val="en-US" w:eastAsia="zh-CN"/>
              </w:rPr>
              <w:t>祁立波</w:t>
            </w:r>
          </w:p>
        </w:tc>
        <w:tc>
          <w:tcPr>
            <w:tcW w:w="986" w:type="pct"/>
            <w:vAlign w:val="center"/>
          </w:tcPr>
          <w:p>
            <w:pPr>
              <w:jc w:val="center"/>
              <w:rPr>
                <w:rFonts w:hint="eastAsia" w:ascii="宋体" w:hAnsi="宋体" w:eastAsia="宋体"/>
                <w:lang w:val="en-US" w:eastAsia="zh-CN"/>
              </w:rPr>
            </w:pPr>
            <w:r>
              <w:rPr>
                <w:rFonts w:hint="eastAsia" w:ascii="宋体" w:hAnsi="宋体" w:eastAsia="宋体"/>
                <w:lang w:val="en-US" w:eastAsia="zh-CN"/>
              </w:rPr>
              <w:t>女</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教授</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大连工业大学</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86" w:type="pct"/>
            <w:vAlign w:val="center"/>
          </w:tcPr>
          <w:p>
            <w:pPr>
              <w:jc w:val="center"/>
              <w:rPr>
                <w:rFonts w:hint="eastAsia" w:ascii="宋体" w:hAnsi="宋体" w:eastAsia="宋体"/>
                <w:lang w:val="en-US" w:eastAsia="zh-CN"/>
              </w:rPr>
            </w:pPr>
            <w:r>
              <w:rPr>
                <w:rFonts w:hint="eastAsia" w:ascii="宋体" w:hAnsi="宋体" w:eastAsia="宋体"/>
                <w:lang w:val="en-US" w:eastAsia="zh-CN"/>
              </w:rPr>
              <w:t>韩延波</w:t>
            </w:r>
          </w:p>
        </w:tc>
        <w:tc>
          <w:tcPr>
            <w:tcW w:w="986" w:type="pct"/>
            <w:vAlign w:val="center"/>
          </w:tcPr>
          <w:p>
            <w:pPr>
              <w:jc w:val="center"/>
              <w:rPr>
                <w:rFonts w:hint="eastAsia" w:ascii="宋体" w:hAnsi="宋体" w:eastAsia="宋体"/>
                <w:lang w:val="en-US" w:eastAsia="zh-CN"/>
              </w:rPr>
            </w:pPr>
            <w:r>
              <w:rPr>
                <w:rFonts w:hint="eastAsia" w:ascii="宋体" w:hAnsi="宋体" w:eastAsia="宋体"/>
                <w:lang w:val="en-US" w:eastAsia="zh-CN"/>
              </w:rPr>
              <w:t>男</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教授</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大连海洋大学</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86" w:type="pct"/>
            <w:vAlign w:val="center"/>
          </w:tcPr>
          <w:p>
            <w:pPr>
              <w:jc w:val="center"/>
              <w:rPr>
                <w:rFonts w:hint="eastAsia" w:ascii="宋体" w:hAnsi="宋体" w:eastAsia="宋体"/>
                <w:lang w:val="en-US" w:eastAsia="zh-CN"/>
              </w:rPr>
            </w:pPr>
            <w:r>
              <w:rPr>
                <w:rFonts w:hint="eastAsia" w:ascii="宋体" w:hAnsi="宋体" w:eastAsia="宋体"/>
                <w:lang w:val="en-US" w:eastAsia="zh-CN"/>
              </w:rPr>
              <w:t>苏延明</w:t>
            </w:r>
          </w:p>
        </w:tc>
        <w:tc>
          <w:tcPr>
            <w:tcW w:w="986" w:type="pct"/>
            <w:vAlign w:val="center"/>
          </w:tcPr>
          <w:p>
            <w:pPr>
              <w:jc w:val="center"/>
              <w:rPr>
                <w:rFonts w:hint="default" w:ascii="宋体" w:hAnsi="宋体" w:eastAsia="宋体"/>
                <w:lang w:val="en-US" w:eastAsia="zh-CN"/>
              </w:rPr>
            </w:pPr>
            <w:r>
              <w:rPr>
                <w:rFonts w:hint="eastAsia" w:ascii="宋体" w:hAnsi="宋体" w:eastAsia="宋体"/>
                <w:lang w:val="en-US" w:eastAsia="zh-CN"/>
              </w:rPr>
              <w:t>男</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教授</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大连海洋大学</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86" w:type="pct"/>
            <w:vAlign w:val="center"/>
          </w:tcPr>
          <w:p>
            <w:pPr>
              <w:jc w:val="center"/>
              <w:rPr>
                <w:rFonts w:hint="eastAsia" w:ascii="宋体" w:hAnsi="宋体" w:eastAsia="宋体"/>
                <w:lang w:val="en-US" w:eastAsia="zh-CN"/>
              </w:rPr>
            </w:pPr>
            <w:r>
              <w:rPr>
                <w:rFonts w:hint="eastAsia" w:ascii="宋体" w:hAnsi="宋体" w:eastAsia="宋体"/>
                <w:lang w:val="en-US" w:eastAsia="zh-CN"/>
              </w:rPr>
              <w:t>李春玲</w:t>
            </w:r>
          </w:p>
        </w:tc>
        <w:tc>
          <w:tcPr>
            <w:tcW w:w="986" w:type="pct"/>
            <w:vAlign w:val="center"/>
          </w:tcPr>
          <w:p>
            <w:pPr>
              <w:jc w:val="center"/>
              <w:rPr>
                <w:rFonts w:hint="eastAsia" w:ascii="宋体" w:hAnsi="宋体" w:eastAsia="宋体"/>
                <w:lang w:val="en-US" w:eastAsia="zh-CN"/>
              </w:rPr>
            </w:pPr>
            <w:r>
              <w:rPr>
                <w:rFonts w:hint="eastAsia" w:ascii="宋体" w:hAnsi="宋体" w:eastAsia="宋体"/>
                <w:lang w:val="en-US" w:eastAsia="zh-CN"/>
              </w:rPr>
              <w:t>女</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高级工程师</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大连产品质量检验检测研究院有限公司</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86" w:type="pct"/>
            <w:vAlign w:val="center"/>
          </w:tcPr>
          <w:p>
            <w:pPr>
              <w:jc w:val="center"/>
              <w:rPr>
                <w:rFonts w:hint="eastAsia" w:ascii="宋体" w:hAnsi="宋体" w:eastAsia="宋体"/>
                <w:lang w:val="en-US" w:eastAsia="zh-CN"/>
              </w:rPr>
            </w:pPr>
            <w:r>
              <w:rPr>
                <w:rFonts w:hint="eastAsia" w:ascii="宋体" w:hAnsi="宋体" w:eastAsia="宋体"/>
                <w:lang w:val="en-US" w:eastAsia="zh-CN"/>
              </w:rPr>
              <w:t xml:space="preserve">李海燕 </w:t>
            </w:r>
          </w:p>
        </w:tc>
        <w:tc>
          <w:tcPr>
            <w:tcW w:w="986" w:type="pct"/>
            <w:vAlign w:val="center"/>
          </w:tcPr>
          <w:p>
            <w:pPr>
              <w:jc w:val="center"/>
              <w:rPr>
                <w:rFonts w:hint="eastAsia" w:ascii="宋体" w:hAnsi="宋体" w:eastAsia="宋体"/>
                <w:lang w:val="en-US" w:eastAsia="zh-CN"/>
              </w:rPr>
            </w:pPr>
            <w:r>
              <w:rPr>
                <w:rFonts w:hint="eastAsia" w:ascii="宋体" w:hAnsi="宋体" w:eastAsia="宋体"/>
                <w:lang w:val="en-US" w:eastAsia="zh-CN"/>
              </w:rPr>
              <w:t>女</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 xml:space="preserve">院长 </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大连市检验检测认证技术服务中心</w:t>
            </w:r>
          </w:p>
        </w:tc>
        <w:tc>
          <w:tcPr>
            <w:tcW w:w="1008" w:type="pct"/>
            <w:vAlign w:val="center"/>
          </w:tcPr>
          <w:p>
            <w:pPr>
              <w:jc w:val="center"/>
              <w:rPr>
                <w:rFonts w:hint="eastAsia" w:ascii="宋体" w:hAnsi="宋体" w:eastAsia="宋体"/>
                <w:lang w:val="en-US" w:eastAsia="zh-CN"/>
              </w:rPr>
            </w:pPr>
            <w:r>
              <w:rPr>
                <w:rFonts w:hint="eastAsia" w:ascii="宋体" w:hAnsi="宋体" w:eastAsia="宋体"/>
                <w:lang w:val="en-US" w:eastAsia="zh-CN"/>
              </w:rPr>
              <w:t>标准编制</w:t>
            </w:r>
          </w:p>
        </w:tc>
      </w:tr>
    </w:tbl>
    <w:p>
      <w:pPr>
        <w:jc w:val="center"/>
        <w:rPr>
          <w:rFonts w:hint="eastAsia" w:ascii="宋体" w:hAnsi="宋体" w:eastAsia="宋体"/>
          <w:lang w:val="en-US" w:eastAsia="zh-CN"/>
        </w:rPr>
      </w:pPr>
    </w:p>
    <w:p>
      <w:pPr>
        <w:pStyle w:val="22"/>
        <w:ind w:firstLine="600"/>
      </w:pPr>
      <w:r>
        <w:rPr>
          <w:rFonts w:hint="eastAsia"/>
        </w:rPr>
        <w:t>（</w:t>
      </w:r>
      <w:r>
        <w:rPr>
          <w:rFonts w:hint="eastAsia"/>
          <w:lang w:val="en-US" w:eastAsia="zh-CN"/>
        </w:rPr>
        <w:t>五</w:t>
      </w:r>
      <w:r>
        <w:rPr>
          <w:rFonts w:hint="eastAsia"/>
        </w:rPr>
        <w:t>）主要工作过程</w:t>
      </w:r>
    </w:p>
    <w:p>
      <w:pPr>
        <w:pStyle w:val="23"/>
        <w:ind w:firstLine="560"/>
      </w:pPr>
      <w:r>
        <w:rPr>
          <w:rFonts w:hint="eastAsia"/>
        </w:rPr>
        <w:t>本标准的编制过程主要分为：成立标准编制工作组、标准调研、标准编制、征求意见、标准送审</w:t>
      </w:r>
      <w:r>
        <w:t xml:space="preserve"> 5 个阶段。</w:t>
      </w:r>
    </w:p>
    <w:p>
      <w:pPr>
        <w:pStyle w:val="23"/>
        <w:ind w:firstLine="560"/>
      </w:pPr>
      <w:r>
        <w:rPr>
          <w:rFonts w:hint="eastAsia"/>
        </w:rPr>
        <w:t>1.</w:t>
      </w:r>
      <w:r>
        <w:t xml:space="preserve"> </w:t>
      </w:r>
      <w:r>
        <w:rPr>
          <w:rFonts w:hint="eastAsia"/>
          <w:color w:val="auto"/>
        </w:rPr>
        <w:t>成立标准编制工作组</w:t>
      </w:r>
    </w:p>
    <w:p>
      <w:pPr>
        <w:pStyle w:val="23"/>
        <w:ind w:firstLine="560"/>
      </w:pPr>
      <w:r>
        <w:rPr>
          <w:rFonts w:hint="eastAsia"/>
        </w:rPr>
        <w:t>大连标准认证研究院有限公司在接到大连市市场监督管理局下《关于下达</w:t>
      </w:r>
      <w:r>
        <w:t>2023年大连市地方标准立项计划的通知</w:t>
      </w:r>
      <w:r>
        <w:rPr>
          <w:rFonts w:hint="eastAsia"/>
        </w:rPr>
        <w:t>》后，大连标准认证研究院有限公司</w:t>
      </w:r>
      <w:r>
        <w:rPr>
          <w:rFonts w:hint="eastAsia"/>
          <w:lang w:val="en-US" w:eastAsia="zh-CN"/>
        </w:rPr>
        <w:t>协同其余起草单位于</w:t>
      </w:r>
      <w:r>
        <w:rPr>
          <w:rFonts w:hint="eastAsia"/>
        </w:rPr>
        <w:t>2023年7月18日</w:t>
      </w:r>
      <w:r>
        <w:rPr>
          <w:rFonts w:hint="eastAsia"/>
          <w:lang w:val="en-US" w:eastAsia="zh-CN"/>
        </w:rPr>
        <w:t>在</w:t>
      </w:r>
      <w:r>
        <w:rPr>
          <w:rFonts w:hint="eastAsia"/>
        </w:rPr>
        <w:t>大连海洋大学行政楼五楼会议室召开大连市海鲜预制菜标准化工作推进会。</w:t>
      </w:r>
      <w:r>
        <w:rPr>
          <w:rFonts w:hint="eastAsia"/>
          <w:lang w:val="en-US" w:eastAsia="zh-CN"/>
        </w:rPr>
        <w:t>由</w:t>
      </w:r>
      <w:r>
        <w:rPr>
          <w:rFonts w:hint="eastAsia"/>
        </w:rPr>
        <w:t>大连标准认证研究院有限公司牵头成立标准起草小组，协同其余起草单位，开展相关标准编制工作。</w:t>
      </w:r>
    </w:p>
    <w:p>
      <w:pPr>
        <w:pStyle w:val="23"/>
        <w:ind w:firstLine="560"/>
      </w:pPr>
      <w:r>
        <w:rPr>
          <w:rFonts w:hint="eastAsia"/>
        </w:rPr>
        <w:t>2.</w:t>
      </w:r>
      <w:r>
        <w:t xml:space="preserve"> </w:t>
      </w:r>
      <w:r>
        <w:rPr>
          <w:rFonts w:hint="eastAsia"/>
          <w:color w:val="auto"/>
        </w:rPr>
        <w:t>标准调研</w:t>
      </w:r>
    </w:p>
    <w:p>
      <w:pPr>
        <w:pStyle w:val="23"/>
        <w:ind w:firstLine="560"/>
      </w:pPr>
      <w:r>
        <w:rPr>
          <w:rFonts w:hint="eastAsia"/>
        </w:rPr>
        <w:t>标准编制工作组成立后，制定了详细的工作计划，走访调研了大连海鲜预制菜相关的生产企业</w:t>
      </w:r>
      <w:r>
        <w:rPr>
          <w:rFonts w:hint="eastAsia" w:hAnsi="宋体" w:eastAsia="宋体"/>
        </w:rPr>
        <w:t>、</w:t>
      </w:r>
      <w:r>
        <w:rPr>
          <w:rFonts w:hint="eastAsia"/>
        </w:rPr>
        <w:t>监管部门、检验检测机构、预制菜行业协会等行业龙头和权威单位，对大连</w:t>
      </w:r>
      <w:r>
        <w:rPr>
          <w:rFonts w:hint="eastAsia"/>
          <w:lang w:val="en-US" w:eastAsia="zh-CN"/>
        </w:rPr>
        <w:t>市</w:t>
      </w:r>
      <w:r>
        <w:rPr>
          <w:rFonts w:hint="eastAsia"/>
        </w:rPr>
        <w:t>海鲜预制菜的生产、</w:t>
      </w:r>
      <w:r>
        <w:rPr>
          <w:rFonts w:hint="eastAsia"/>
          <w:lang w:val="en-US" w:eastAsia="zh-CN"/>
        </w:rPr>
        <w:t>加工</w:t>
      </w:r>
      <w:r>
        <w:rPr>
          <w:rFonts w:hint="eastAsia"/>
        </w:rPr>
        <w:t>、</w:t>
      </w:r>
      <w:r>
        <w:rPr>
          <w:rFonts w:hint="eastAsia"/>
          <w:lang w:val="en-US" w:eastAsia="zh-CN"/>
        </w:rPr>
        <w:t>贮存和经营</w:t>
      </w:r>
      <w:r>
        <w:rPr>
          <w:rFonts w:hint="eastAsia"/>
        </w:rPr>
        <w:t>等各环节及涉及到的政府企事业单位及行业协会进行了调研。</w:t>
      </w:r>
    </w:p>
    <w:p>
      <w:pPr>
        <w:pStyle w:val="23"/>
        <w:ind w:firstLine="560"/>
      </w:pPr>
      <w:r>
        <w:t>3.</w:t>
      </w:r>
      <w:r>
        <w:rPr>
          <w:color w:val="FF0000"/>
        </w:rPr>
        <w:t xml:space="preserve"> </w:t>
      </w:r>
      <w:r>
        <w:rPr>
          <w:rFonts w:hint="eastAsia"/>
          <w:color w:val="auto"/>
        </w:rPr>
        <w:t>标准编制</w:t>
      </w:r>
    </w:p>
    <w:p>
      <w:pPr>
        <w:pStyle w:val="23"/>
        <w:ind w:firstLine="560"/>
      </w:pPr>
      <w:r>
        <w:rPr>
          <w:rFonts w:hint="eastAsia"/>
        </w:rPr>
        <w:t>标准编制组成立后，调研了</w:t>
      </w:r>
      <w:r>
        <w:t>大连市内</w:t>
      </w:r>
      <w:r>
        <w:rPr>
          <w:rFonts w:hint="eastAsia"/>
        </w:rPr>
        <w:t>海鲜预制菜生产、</w:t>
      </w:r>
      <w:r>
        <w:rPr>
          <w:rFonts w:hint="eastAsia"/>
          <w:lang w:val="en-US" w:eastAsia="zh-CN"/>
        </w:rPr>
        <w:t>加工、贮存、经营</w:t>
      </w:r>
      <w:r>
        <w:rPr>
          <w:rFonts w:hint="eastAsia"/>
        </w:rPr>
        <w:t>等企业的情况</w:t>
      </w:r>
      <w:r>
        <w:t>，</w:t>
      </w:r>
      <w:r>
        <w:rPr>
          <w:rFonts w:hint="eastAsia"/>
        </w:rPr>
        <w:t>基于我市目前大连海鲜预制菜产业发展现状和相关行业专家的意见，以</w:t>
      </w:r>
      <w:r>
        <w:t>提升</w:t>
      </w:r>
      <w:r>
        <w:rPr>
          <w:rFonts w:hint="eastAsia"/>
        </w:rPr>
        <w:t>大连海鲜预制菜的产品质量、产业高质量发展和规范行业有序发展为目标，参照相关法律、法规、标准和技术文件，确定了标准的适用范围和主要技术内容。</w:t>
      </w:r>
    </w:p>
    <w:p>
      <w:pPr>
        <w:pStyle w:val="23"/>
        <w:ind w:firstLine="560"/>
      </w:pPr>
      <w:r>
        <w:rPr>
          <w:rFonts w:hint="eastAsia"/>
        </w:rPr>
        <w:t>4.</w:t>
      </w:r>
      <w:r>
        <w:t xml:space="preserve"> </w:t>
      </w:r>
      <w:r>
        <w:rPr>
          <w:rFonts w:hint="eastAsia"/>
        </w:rPr>
        <w:t>征求意见</w:t>
      </w:r>
    </w:p>
    <w:p>
      <w:pPr>
        <w:pStyle w:val="23"/>
        <w:ind w:firstLine="560"/>
      </w:pPr>
      <w:r>
        <w:rPr>
          <w:rFonts w:hint="eastAsia"/>
        </w:rPr>
        <w:t>为补充优化标准内容和完善标准适用性，标准编制组通过网上公示，征求大连海鲜预制菜的监管部门、生产企业、检验检测机构、冷链配送中心及行业协会等行业龙头和权威单位的行业专家意见，再对标准内容进一步完善，形成了《大连海鲜预制菜通用要求》（征求意见稿）</w:t>
      </w:r>
    </w:p>
    <w:p>
      <w:pPr>
        <w:pStyle w:val="23"/>
        <w:ind w:firstLine="560"/>
      </w:pPr>
      <w:r>
        <w:rPr>
          <w:rFonts w:hint="eastAsia"/>
        </w:rPr>
        <w:t>5</w:t>
      </w:r>
      <w:r>
        <w:t>.</w:t>
      </w:r>
      <w:r>
        <w:rPr>
          <w:rFonts w:hint="eastAsia"/>
        </w:rPr>
        <w:t>标准送审</w:t>
      </w:r>
    </w:p>
    <w:p>
      <w:pPr>
        <w:ind w:firstLine="840" w:firstLineChars="300"/>
        <w:rPr>
          <w:rFonts w:ascii="宋体" w:hAnsi="Times New Roman" w:eastAsia="仿宋_GB2312" w:cs="Times New Roman"/>
          <w:kern w:val="0"/>
          <w:sz w:val="28"/>
          <w:szCs w:val="20"/>
        </w:rPr>
      </w:pPr>
      <w:r>
        <w:rPr>
          <w:rFonts w:hint="eastAsia" w:ascii="宋体" w:hAnsi="Times New Roman" w:eastAsia="仿宋_GB2312" w:cs="Times New Roman"/>
          <w:kern w:val="0"/>
          <w:sz w:val="28"/>
          <w:szCs w:val="20"/>
        </w:rPr>
        <w:t>对送审材料进行修改、补充和完善，形成正式报批材料，上报审批。</w:t>
      </w:r>
    </w:p>
    <w:p>
      <w:pPr>
        <w:pStyle w:val="21"/>
        <w:numPr>
          <w:ilvl w:val="0"/>
          <w:numId w:val="0"/>
        </w:numPr>
        <w:spacing w:before="93" w:after="93"/>
        <w:ind w:left="600"/>
      </w:pPr>
      <w:r>
        <w:t>二、</w:t>
      </w:r>
      <w:r>
        <w:rPr>
          <w:rFonts w:hint="eastAsia"/>
        </w:rPr>
        <w:t>标准编制原则和主要内容</w:t>
      </w:r>
    </w:p>
    <w:p>
      <w:pPr>
        <w:pStyle w:val="22"/>
        <w:ind w:firstLine="600"/>
        <w:rPr>
          <w:color w:val="auto"/>
        </w:rPr>
      </w:pPr>
      <w:r>
        <w:rPr>
          <w:rFonts w:hint="eastAsia"/>
          <w:color w:val="auto"/>
        </w:rPr>
        <w:t>（一）标准编制原则</w:t>
      </w:r>
    </w:p>
    <w:p>
      <w:pPr>
        <w:pStyle w:val="23"/>
        <w:ind w:firstLine="560"/>
      </w:pPr>
      <w:r>
        <w:rPr>
          <w:rFonts w:hint="eastAsia"/>
        </w:rPr>
        <w:t>1.</w:t>
      </w:r>
      <w:r>
        <w:t xml:space="preserve"> </w:t>
      </w:r>
      <w:r>
        <w:rPr>
          <w:rFonts w:hint="eastAsia"/>
        </w:rPr>
        <w:t>以科学性为基础，以实用性和可操作性为主要目的。</w:t>
      </w:r>
    </w:p>
    <w:p>
      <w:pPr>
        <w:pStyle w:val="23"/>
        <w:ind w:firstLine="560"/>
      </w:pPr>
      <w:r>
        <w:rPr>
          <w:rFonts w:hint="eastAsia"/>
        </w:rPr>
        <w:t>2.</w:t>
      </w:r>
      <w:r>
        <w:t xml:space="preserve"> </w:t>
      </w:r>
      <w:r>
        <w:rPr>
          <w:rFonts w:hint="eastAsia"/>
        </w:rPr>
        <w:t>以国内法规、标准和科研论文为基础，结合大连海鲜预制菜产业现状，充分体现标准兼容性和适应性的原则，便于标准后期落地实施。</w:t>
      </w:r>
    </w:p>
    <w:p>
      <w:pPr>
        <w:pStyle w:val="23"/>
        <w:ind w:firstLine="560"/>
      </w:pPr>
      <w:r>
        <w:rPr>
          <w:rFonts w:hint="eastAsia"/>
        </w:rPr>
        <w:t>3.</w:t>
      </w:r>
      <w:r>
        <w:t xml:space="preserve"> </w:t>
      </w:r>
      <w:r>
        <w:rPr>
          <w:rFonts w:hint="eastAsia"/>
        </w:rPr>
        <w:t>通过对行业专家、从业人员的咨询访谈，以提高大连市内大连海鲜预制菜的产业发展现状，促进海鲜预制菜产业高质量发展并借鉴我国其他先进地域标准，达到全面兼顾可操作性的原则。</w:t>
      </w:r>
    </w:p>
    <w:p>
      <w:pPr>
        <w:pStyle w:val="22"/>
        <w:ind w:firstLine="600"/>
        <w:rPr>
          <w:color w:val="auto"/>
        </w:rPr>
      </w:pPr>
      <w:r>
        <w:rPr>
          <w:rFonts w:hint="eastAsia"/>
          <w:color w:val="auto"/>
        </w:rPr>
        <w:t>（二）标准主要内容</w:t>
      </w:r>
    </w:p>
    <w:p>
      <w:pPr>
        <w:pStyle w:val="23"/>
        <w:ind w:firstLine="560"/>
      </w:pPr>
      <w:r>
        <w:rPr>
          <w:rFonts w:hint="eastAsia"/>
        </w:rPr>
        <w:t>1</w:t>
      </w:r>
      <w:r>
        <w:t xml:space="preserve">. </w:t>
      </w:r>
      <w:r>
        <w:rPr>
          <w:rFonts w:hint="eastAsia"/>
        </w:rPr>
        <w:t>范围</w:t>
      </w:r>
    </w:p>
    <w:p>
      <w:pPr>
        <w:pStyle w:val="10"/>
        <w:ind w:firstLine="560"/>
        <w:rPr>
          <w:rFonts w:eastAsia="仿宋_GB2312"/>
          <w:sz w:val="28"/>
        </w:rPr>
      </w:pPr>
      <w:r>
        <w:rPr>
          <w:rFonts w:hint="eastAsia" w:eastAsia="仿宋_GB2312"/>
          <w:sz w:val="28"/>
        </w:rPr>
        <w:t>本文件规定了海鲜预制菜的术语和定义、分类、一般要求、原辅料要求、产品要求、检验要求、包装与标签、运输与贮存、保质期、流通追溯。</w:t>
      </w:r>
    </w:p>
    <w:p>
      <w:pPr>
        <w:pStyle w:val="10"/>
        <w:ind w:firstLine="560"/>
        <w:rPr>
          <w:rFonts w:eastAsia="仿宋_GB2312"/>
          <w:sz w:val="28"/>
        </w:rPr>
      </w:pPr>
      <w:r>
        <w:rPr>
          <w:rFonts w:hint="eastAsia" w:eastAsia="仿宋_GB2312"/>
          <w:sz w:val="28"/>
        </w:rPr>
        <w:t>本文件适用于海鲜预制菜的生产、加工、贮存和经营。</w:t>
      </w:r>
    </w:p>
    <w:p>
      <w:pPr>
        <w:pStyle w:val="23"/>
        <w:ind w:firstLine="560"/>
      </w:pPr>
      <w:r>
        <w:rPr>
          <w:rFonts w:hint="eastAsia"/>
        </w:rPr>
        <w:t>2</w:t>
      </w:r>
      <w:r>
        <w:t xml:space="preserve">. </w:t>
      </w:r>
      <w:r>
        <w:rPr>
          <w:rFonts w:hint="eastAsia"/>
        </w:rPr>
        <w:t>规范性引用文件</w:t>
      </w:r>
    </w:p>
    <w:p>
      <w:pPr>
        <w:pStyle w:val="23"/>
        <w:ind w:firstLine="560"/>
      </w:pPr>
      <w:r>
        <w:t>GB/T 191 包装储运图示标志</w:t>
      </w:r>
    </w:p>
    <w:p>
      <w:pPr>
        <w:pStyle w:val="23"/>
        <w:ind w:firstLine="560"/>
      </w:pPr>
      <w:r>
        <w:t>GB 2733 食品安全国家标准 鲜、冻动物性水产品</w:t>
      </w:r>
    </w:p>
    <w:p>
      <w:pPr>
        <w:pStyle w:val="23"/>
        <w:ind w:firstLine="560"/>
      </w:pPr>
      <w:r>
        <w:t>GB 2761 食品安全国家标准 食品中真菌毒素限量</w:t>
      </w:r>
    </w:p>
    <w:p>
      <w:pPr>
        <w:pStyle w:val="23"/>
        <w:ind w:firstLine="560"/>
      </w:pPr>
      <w:r>
        <w:t>GB 2762 食品安全国家标准 食品中污染物限量</w:t>
      </w:r>
    </w:p>
    <w:p>
      <w:pPr>
        <w:pStyle w:val="23"/>
        <w:ind w:firstLine="560"/>
      </w:pPr>
      <w:r>
        <w:t>GB 2763 食品安全国家标准 食品中农药最大残留限量</w:t>
      </w:r>
    </w:p>
    <w:p>
      <w:pPr>
        <w:pStyle w:val="23"/>
        <w:ind w:firstLine="560"/>
      </w:pPr>
      <w:r>
        <w:t>GB 2763.1 食品安全国家标准 食品中2,4-滴丁酸钠盐等112种农药最大残留限量</w:t>
      </w:r>
    </w:p>
    <w:p>
      <w:pPr>
        <w:pStyle w:val="23"/>
        <w:ind w:firstLine="560"/>
      </w:pPr>
      <w:r>
        <w:t>GB 4789.1 食品安全国家标准 食品微生物学检验 总则</w:t>
      </w:r>
    </w:p>
    <w:p>
      <w:pPr>
        <w:pStyle w:val="23"/>
        <w:ind w:firstLine="560"/>
      </w:pPr>
      <w:r>
        <w:t>GB 5749 生活饮用水卫生标准</w:t>
      </w:r>
    </w:p>
    <w:p>
      <w:pPr>
        <w:pStyle w:val="23"/>
        <w:ind w:firstLine="560"/>
      </w:pPr>
      <w:r>
        <w:t>GB/T 6543 运输包装用单瓦楞纸箱和双瓦楞纸箱</w:t>
      </w:r>
    </w:p>
    <w:p>
      <w:pPr>
        <w:pStyle w:val="23"/>
        <w:ind w:firstLine="560"/>
      </w:pPr>
      <w:r>
        <w:t>GB 7718 食品安全国家标准 预包装食品标签通则</w:t>
      </w:r>
    </w:p>
    <w:p>
      <w:pPr>
        <w:pStyle w:val="23"/>
        <w:ind w:firstLine="560"/>
      </w:pPr>
      <w:r>
        <w:t>GB 14881 食品安全国家标准 食品生产通用卫生规范</w:t>
      </w:r>
    </w:p>
    <w:p>
      <w:pPr>
        <w:pStyle w:val="23"/>
        <w:ind w:firstLine="560"/>
      </w:pPr>
      <w:r>
        <w:t>GB 28050 食品安全国家标准 预包装食品营养标签通则</w:t>
      </w:r>
    </w:p>
    <w:p>
      <w:pPr>
        <w:pStyle w:val="23"/>
        <w:ind w:firstLine="560"/>
      </w:pPr>
      <w:r>
        <w:t>GB/T 28843 食品冷链物流追溯管理要求</w:t>
      </w:r>
    </w:p>
    <w:p>
      <w:pPr>
        <w:pStyle w:val="23"/>
        <w:ind w:firstLine="560"/>
      </w:pPr>
      <w:r>
        <w:t>GB 29921 食品安全国家标准 预包装食品中致病菌限量</w:t>
      </w:r>
    </w:p>
    <w:p>
      <w:pPr>
        <w:pStyle w:val="23"/>
        <w:ind w:firstLine="560"/>
      </w:pPr>
      <w:r>
        <w:t>GB 31650 食品安全国家标准食品中兽药最大残留限量</w:t>
      </w:r>
    </w:p>
    <w:p>
      <w:pPr>
        <w:pStyle w:val="23"/>
        <w:ind w:firstLine="560"/>
      </w:pPr>
      <w:r>
        <w:t>GB 31650.1 食品安全国家标准 食品中41种兽药最大残留限量</w:t>
      </w:r>
    </w:p>
    <w:p>
      <w:pPr>
        <w:pStyle w:val="23"/>
        <w:ind w:firstLine="560"/>
      </w:pPr>
      <w:r>
        <w:t>GB 31654 食品安全国家标准 餐饮服务通用卫生规范</w:t>
      </w:r>
    </w:p>
    <w:p>
      <w:pPr>
        <w:pStyle w:val="23"/>
        <w:ind w:firstLine="560"/>
      </w:pPr>
      <w:r>
        <w:t>GB/T 38159 重要产品追溯 追溯体系通用要求</w:t>
      </w:r>
    </w:p>
    <w:p>
      <w:pPr>
        <w:pStyle w:val="23"/>
        <w:ind w:firstLine="560"/>
      </w:pPr>
      <w:r>
        <w:t>JJF 1070 定量包装商品净含量计量检验规则</w:t>
      </w:r>
    </w:p>
    <w:p>
      <w:pPr>
        <w:pStyle w:val="23"/>
        <w:ind w:firstLine="560"/>
        <w:rPr>
          <w:rFonts w:hint="eastAsia"/>
        </w:rPr>
      </w:pPr>
      <w:r>
        <w:rPr>
          <w:rFonts w:hint="eastAsia"/>
        </w:rPr>
        <w:t>国家质量监督检验检疫总局令﹝</w:t>
      </w:r>
      <w:r>
        <w:t>2009﹞第123号《食品标识管理规定》</w:t>
      </w:r>
    </w:p>
    <w:p>
      <w:pPr>
        <w:pStyle w:val="23"/>
        <w:ind w:firstLine="560"/>
      </w:pPr>
      <w:r>
        <w:rPr>
          <w:rFonts w:hint="eastAsia"/>
        </w:rPr>
        <w:t>3</w:t>
      </w:r>
      <w:r>
        <w:t xml:space="preserve">. </w:t>
      </w:r>
      <w:r>
        <w:rPr>
          <w:rFonts w:hint="eastAsia"/>
        </w:rPr>
        <w:t>术语和定义</w:t>
      </w:r>
    </w:p>
    <w:p>
      <w:pPr>
        <w:pStyle w:val="23"/>
        <w:ind w:firstLine="560"/>
      </w:pPr>
      <w:r>
        <w:rPr>
          <w:rFonts w:hint="eastAsia"/>
        </w:rPr>
        <w:t>本章参考国家相关法律法规中对于海鲜预制菜的定义和术语的规定，如《食品安全法》、《食品安全国家标准 食品分类与编码》等。</w:t>
      </w:r>
      <w:r>
        <w:rPr>
          <w:rFonts w:hint="eastAsia"/>
          <w:lang w:val="en-US" w:eastAsia="zh-CN"/>
        </w:rPr>
        <w:t>以及</w:t>
      </w:r>
      <w:r>
        <w:rPr>
          <w:rFonts w:hint="eastAsia"/>
        </w:rPr>
        <w:t>已有的</w:t>
      </w:r>
      <w:r>
        <w:rPr>
          <w:rFonts w:hint="eastAsia"/>
          <w:lang w:val="en-US" w:eastAsia="zh-CN"/>
        </w:rPr>
        <w:t>相关标准</w:t>
      </w:r>
      <w:r>
        <w:rPr>
          <w:rFonts w:hint="eastAsia"/>
        </w:rPr>
        <w:t>和规范，如</w:t>
      </w:r>
      <w:r>
        <w:rPr>
          <w:rFonts w:hint="eastAsia"/>
          <w:lang w:eastAsia="zh-CN"/>
        </w:rPr>
        <w:t>《</w:t>
      </w:r>
      <w:r>
        <w:rPr>
          <w:rFonts w:hint="eastAsia"/>
        </w:rPr>
        <w:t>GB 2733 食品安全国家标准 鲜、冻动物性水产品</w:t>
      </w:r>
      <w:r>
        <w:rPr>
          <w:rFonts w:hint="eastAsia"/>
          <w:lang w:eastAsia="zh-CN"/>
        </w:rPr>
        <w:t>》、《</w:t>
      </w:r>
      <w:r>
        <w:rPr>
          <w:rFonts w:hint="eastAsia"/>
        </w:rPr>
        <w:t>GB 7718 食品安全国家标准 预包装食品标签通则</w:t>
      </w:r>
      <w:r>
        <w:rPr>
          <w:rFonts w:hint="eastAsia"/>
          <w:lang w:eastAsia="zh-CN"/>
        </w:rPr>
        <w:t>》</w:t>
      </w:r>
      <w:r>
        <w:rPr>
          <w:rFonts w:hint="eastAsia"/>
        </w:rPr>
        <w:t>等。</w:t>
      </w:r>
      <w:r>
        <w:rPr>
          <w:rFonts w:hint="eastAsia"/>
          <w:lang w:val="en-US" w:eastAsia="zh-CN"/>
        </w:rPr>
        <w:t>同时</w:t>
      </w:r>
      <w:r>
        <w:rPr>
          <w:rFonts w:hint="eastAsia"/>
        </w:rPr>
        <w:t>征求相关领域的专家和从业者的意见，进行专家讨论和行业研讨，形成共识。</w:t>
      </w:r>
    </w:p>
    <w:p>
      <w:pPr>
        <w:pStyle w:val="23"/>
        <w:ind w:firstLine="560"/>
      </w:pPr>
      <w:r>
        <w:rPr>
          <w:rFonts w:hint="eastAsia"/>
        </w:rPr>
        <w:t>4</w:t>
      </w:r>
      <w:r>
        <w:t xml:space="preserve">. </w:t>
      </w:r>
      <w:r>
        <w:rPr>
          <w:rFonts w:hint="eastAsia"/>
        </w:rPr>
        <w:t>分类</w:t>
      </w:r>
    </w:p>
    <w:p>
      <w:pPr>
        <w:pStyle w:val="23"/>
        <w:ind w:firstLine="560"/>
        <w:rPr>
          <w:rFonts w:hint="eastAsia"/>
        </w:rPr>
      </w:pPr>
      <w:r>
        <w:rPr>
          <w:rFonts w:hint="eastAsia"/>
        </w:rPr>
        <w:t>按照不同预制菜主料、加工方式和食用方式进行分类。</w:t>
      </w:r>
    </w:p>
    <w:p>
      <w:pPr>
        <w:pStyle w:val="23"/>
        <w:ind w:firstLine="560"/>
        <w:rPr>
          <w:rFonts w:hint="default" w:eastAsia="仿宋_GB2312"/>
          <w:lang w:val="en-US" w:eastAsia="zh-CN"/>
        </w:rPr>
      </w:pPr>
      <w:r>
        <w:rPr>
          <w:rFonts w:hint="eastAsia"/>
          <w:lang w:val="en-US" w:eastAsia="zh-CN"/>
        </w:rPr>
        <w:t>依据预制菜主料类别，分为动物性水产品和藻类两大类；依据加工工艺要求，分为生制预制菜、熟制预制菜、生熟混制预制菜三类；依据使用方式分为了即食预制菜、即热预制菜、即烹预制菜、即配预制菜。</w:t>
      </w:r>
    </w:p>
    <w:p>
      <w:pPr>
        <w:pStyle w:val="23"/>
        <w:ind w:firstLine="560"/>
      </w:pPr>
      <w:r>
        <w:t>5</w:t>
      </w:r>
      <w:r>
        <w:rPr>
          <w:rFonts w:hint="eastAsia"/>
        </w:rPr>
        <w:t>、</w:t>
      </w:r>
      <w:bookmarkStart w:id="0" w:name="_Hlk141367560"/>
      <w:r>
        <w:rPr>
          <w:rFonts w:hint="eastAsia"/>
        </w:rPr>
        <w:t>一般要求</w:t>
      </w:r>
    </w:p>
    <w:bookmarkEnd w:id="0"/>
    <w:p>
      <w:pPr>
        <w:kinsoku w:val="0"/>
        <w:autoSpaceDE w:val="0"/>
        <w:autoSpaceDN w:val="0"/>
        <w:adjustRightInd w:val="0"/>
        <w:snapToGrid w:val="0"/>
        <w:spacing w:line="360" w:lineRule="auto"/>
        <w:ind w:firstLine="560" w:firstLineChars="200"/>
        <w:jc w:val="left"/>
        <w:textAlignment w:val="baseline"/>
        <w:rPr>
          <w:rFonts w:hint="eastAsia" w:ascii="宋体" w:hAnsi="Times New Roman" w:eastAsia="仿宋_GB2312" w:cs="Times New Roman"/>
          <w:kern w:val="0"/>
          <w:sz w:val="28"/>
          <w:szCs w:val="20"/>
        </w:rPr>
      </w:pPr>
      <w:r>
        <w:rPr>
          <w:rFonts w:hint="eastAsia" w:ascii="宋体" w:hAnsi="Times New Roman" w:eastAsia="仿宋_GB2312" w:cs="Times New Roman"/>
          <w:kern w:val="0"/>
          <w:sz w:val="28"/>
          <w:szCs w:val="20"/>
          <w:lang w:val="en-US" w:eastAsia="zh-CN"/>
        </w:rPr>
        <w:t>从标准的角度出发，</w:t>
      </w:r>
      <w:r>
        <w:rPr>
          <w:rFonts w:hint="eastAsia" w:ascii="宋体" w:hAnsi="Times New Roman" w:eastAsia="仿宋_GB2312" w:cs="Times New Roman"/>
          <w:kern w:val="0"/>
          <w:sz w:val="28"/>
          <w:szCs w:val="20"/>
        </w:rPr>
        <w:t>明确</w:t>
      </w:r>
      <w:r>
        <w:rPr>
          <w:rFonts w:hint="eastAsia" w:ascii="宋体" w:hAnsi="Times New Roman" w:eastAsia="仿宋_GB2312" w:cs="Times New Roman"/>
          <w:kern w:val="0"/>
          <w:sz w:val="28"/>
          <w:szCs w:val="20"/>
          <w:lang w:eastAsia="zh-CN"/>
        </w:rPr>
        <w:t>了</w:t>
      </w:r>
      <w:r>
        <w:rPr>
          <w:rFonts w:hint="eastAsia" w:ascii="宋体" w:hAnsi="Times New Roman" w:eastAsia="仿宋_GB2312" w:cs="Times New Roman"/>
          <w:kern w:val="0"/>
          <w:sz w:val="28"/>
          <w:szCs w:val="20"/>
          <w:lang w:val="en-US" w:eastAsia="zh-CN"/>
        </w:rPr>
        <w:t>此</w:t>
      </w:r>
      <w:r>
        <w:rPr>
          <w:rFonts w:hint="eastAsia" w:ascii="宋体" w:hAnsi="Times New Roman" w:eastAsia="仿宋_GB2312" w:cs="Times New Roman"/>
          <w:kern w:val="0"/>
          <w:sz w:val="28"/>
          <w:szCs w:val="20"/>
        </w:rPr>
        <w:t>标准编制</w:t>
      </w:r>
      <w:r>
        <w:rPr>
          <w:rFonts w:hint="eastAsia" w:ascii="宋体" w:hAnsi="Times New Roman" w:eastAsia="仿宋_GB2312" w:cs="Times New Roman"/>
          <w:kern w:val="0"/>
          <w:sz w:val="28"/>
          <w:szCs w:val="20"/>
          <w:lang w:val="en-US" w:eastAsia="zh-CN"/>
        </w:rPr>
        <w:t>依据的相关国家标准以及相应类别产品卫生规范的要求。</w:t>
      </w:r>
    </w:p>
    <w:p>
      <w:pPr>
        <w:kinsoku w:val="0"/>
        <w:autoSpaceDE w:val="0"/>
        <w:autoSpaceDN w:val="0"/>
        <w:adjustRightInd w:val="0"/>
        <w:snapToGrid w:val="0"/>
        <w:spacing w:line="360" w:lineRule="auto"/>
        <w:ind w:firstLine="560" w:firstLineChars="200"/>
        <w:jc w:val="left"/>
        <w:textAlignment w:val="baseline"/>
        <w:rPr>
          <w:rFonts w:hint="eastAsia" w:ascii="宋体" w:hAnsi="Times New Roman" w:eastAsia="仿宋_GB2312" w:cs="Times New Roman"/>
          <w:kern w:val="0"/>
          <w:sz w:val="28"/>
          <w:szCs w:val="20"/>
        </w:rPr>
      </w:pPr>
      <w:r>
        <w:rPr>
          <w:rFonts w:hint="eastAsia" w:ascii="宋体" w:hAnsi="Times New Roman" w:eastAsia="仿宋_GB2312" w:cs="Times New Roman"/>
          <w:kern w:val="0"/>
          <w:sz w:val="28"/>
          <w:szCs w:val="20"/>
          <w:lang w:val="en-US" w:eastAsia="zh-CN"/>
        </w:rPr>
        <w:t>从食品原料角度出发，</w:t>
      </w:r>
      <w:r>
        <w:rPr>
          <w:rFonts w:hint="eastAsia" w:ascii="宋体" w:hAnsi="Times New Roman" w:eastAsia="仿宋_GB2312" w:cs="Times New Roman"/>
          <w:kern w:val="0"/>
          <w:sz w:val="28"/>
          <w:szCs w:val="20"/>
        </w:rPr>
        <w:t>明确海鲜预制菜所使用的原料的选择、采购和质量要求，包括原料的新鲜度、安全性、质量标准等。</w:t>
      </w:r>
    </w:p>
    <w:p>
      <w:pPr>
        <w:kinsoku w:val="0"/>
        <w:autoSpaceDE w:val="0"/>
        <w:autoSpaceDN w:val="0"/>
        <w:adjustRightInd w:val="0"/>
        <w:snapToGrid w:val="0"/>
        <w:spacing w:line="360" w:lineRule="auto"/>
        <w:ind w:firstLine="560" w:firstLineChars="200"/>
        <w:jc w:val="left"/>
        <w:textAlignment w:val="baseline"/>
        <w:rPr>
          <w:rFonts w:hint="eastAsia" w:ascii="宋体" w:hAnsi="Times New Roman" w:eastAsia="仿宋_GB2312" w:cs="Times New Roman"/>
          <w:kern w:val="0"/>
          <w:sz w:val="28"/>
          <w:szCs w:val="20"/>
        </w:rPr>
      </w:pPr>
      <w:r>
        <w:rPr>
          <w:rFonts w:hint="eastAsia" w:ascii="宋体" w:hAnsi="Times New Roman" w:eastAsia="仿宋_GB2312" w:cs="Times New Roman"/>
          <w:kern w:val="0"/>
          <w:sz w:val="28"/>
          <w:szCs w:val="20"/>
          <w:lang w:val="en-US" w:eastAsia="zh-CN"/>
        </w:rPr>
        <w:t>根据</w:t>
      </w:r>
      <w:r>
        <w:rPr>
          <w:rFonts w:hint="eastAsia" w:ascii="宋体" w:hAnsi="Times New Roman" w:eastAsia="仿宋_GB2312" w:cs="Times New Roman"/>
          <w:kern w:val="0"/>
          <w:sz w:val="28"/>
          <w:szCs w:val="20"/>
        </w:rPr>
        <w:t>加工工艺要求：详细描述海鲜预制菜的加工工艺流程，包括切割、处理、烹饪、调味等环节的要求，确保加工过程的卫生安全和产品质量。</w:t>
      </w:r>
    </w:p>
    <w:p>
      <w:pPr>
        <w:kinsoku w:val="0"/>
        <w:autoSpaceDE w:val="0"/>
        <w:autoSpaceDN w:val="0"/>
        <w:adjustRightInd w:val="0"/>
        <w:snapToGrid w:val="0"/>
        <w:spacing w:line="360" w:lineRule="auto"/>
        <w:ind w:firstLine="560" w:firstLineChars="200"/>
        <w:jc w:val="left"/>
        <w:textAlignment w:val="baseline"/>
        <w:rPr>
          <w:rFonts w:hint="eastAsia" w:ascii="宋体" w:hAnsi="Times New Roman" w:eastAsia="仿宋_GB2312" w:cs="Times New Roman"/>
          <w:kern w:val="0"/>
          <w:sz w:val="28"/>
          <w:szCs w:val="20"/>
        </w:rPr>
      </w:pPr>
      <w:r>
        <w:rPr>
          <w:rFonts w:hint="eastAsia" w:ascii="宋体" w:hAnsi="Times New Roman" w:eastAsia="仿宋_GB2312" w:cs="Times New Roman"/>
          <w:kern w:val="0"/>
          <w:sz w:val="28"/>
          <w:szCs w:val="20"/>
          <w:lang w:val="en-US" w:eastAsia="zh-CN"/>
        </w:rPr>
        <w:t>根据</w:t>
      </w:r>
      <w:r>
        <w:rPr>
          <w:rFonts w:hint="eastAsia" w:ascii="宋体" w:hAnsi="Times New Roman" w:eastAsia="仿宋_GB2312" w:cs="Times New Roman"/>
          <w:kern w:val="0"/>
          <w:sz w:val="28"/>
          <w:szCs w:val="20"/>
        </w:rPr>
        <w:t>质量和安全要求：规定海鲜预制菜的质量和安全要求，包括外观、口感、营养成分、微生物指标、化学指标等方面的要求。</w:t>
      </w:r>
    </w:p>
    <w:p>
      <w:pPr>
        <w:kinsoku w:val="0"/>
        <w:autoSpaceDE w:val="0"/>
        <w:autoSpaceDN w:val="0"/>
        <w:adjustRightInd w:val="0"/>
        <w:snapToGrid w:val="0"/>
        <w:spacing w:line="360" w:lineRule="auto"/>
        <w:ind w:firstLine="560" w:firstLineChars="200"/>
        <w:jc w:val="left"/>
        <w:textAlignment w:val="baseline"/>
        <w:rPr>
          <w:rFonts w:hint="eastAsia" w:ascii="宋体" w:hAnsi="Times New Roman" w:eastAsia="仿宋_GB2312" w:cs="Times New Roman"/>
          <w:kern w:val="0"/>
          <w:sz w:val="28"/>
          <w:szCs w:val="20"/>
        </w:rPr>
      </w:pPr>
      <w:r>
        <w:rPr>
          <w:rFonts w:hint="eastAsia" w:ascii="宋体" w:hAnsi="Times New Roman" w:eastAsia="仿宋_GB2312" w:cs="Times New Roman"/>
          <w:kern w:val="0"/>
          <w:sz w:val="28"/>
          <w:szCs w:val="20"/>
          <w:lang w:val="en-US" w:eastAsia="zh-CN"/>
        </w:rPr>
        <w:t>根据</w:t>
      </w:r>
      <w:r>
        <w:rPr>
          <w:rFonts w:hint="eastAsia" w:ascii="宋体" w:hAnsi="Times New Roman" w:eastAsia="仿宋_GB2312" w:cs="Times New Roman"/>
          <w:kern w:val="0"/>
          <w:sz w:val="28"/>
          <w:szCs w:val="20"/>
        </w:rPr>
        <w:t>标签和包装要求：规定海鲜预制菜的标签和包装要求，包括标签内容、包装材料、包装规格等方面的要求，确保产品信息的准确性和包装的完整性。</w:t>
      </w:r>
    </w:p>
    <w:p>
      <w:pPr>
        <w:kinsoku w:val="0"/>
        <w:autoSpaceDE w:val="0"/>
        <w:autoSpaceDN w:val="0"/>
        <w:adjustRightInd w:val="0"/>
        <w:snapToGrid w:val="0"/>
        <w:spacing w:line="360" w:lineRule="auto"/>
        <w:ind w:firstLine="560" w:firstLineChars="200"/>
        <w:jc w:val="left"/>
        <w:textAlignment w:val="baseline"/>
        <w:rPr>
          <w:rFonts w:hint="eastAsia" w:ascii="宋体" w:hAnsi="Times New Roman" w:eastAsia="仿宋_GB2312" w:cs="Times New Roman"/>
          <w:kern w:val="0"/>
          <w:sz w:val="28"/>
          <w:szCs w:val="20"/>
        </w:rPr>
      </w:pPr>
      <w:r>
        <w:rPr>
          <w:rFonts w:hint="eastAsia" w:ascii="宋体" w:hAnsi="Times New Roman" w:eastAsia="仿宋_GB2312" w:cs="Times New Roman"/>
          <w:kern w:val="0"/>
          <w:sz w:val="28"/>
          <w:szCs w:val="20"/>
          <w:lang w:val="en-US" w:eastAsia="zh-CN"/>
        </w:rPr>
        <w:t>根据</w:t>
      </w:r>
      <w:r>
        <w:rPr>
          <w:rFonts w:hint="eastAsia" w:ascii="宋体" w:hAnsi="Times New Roman" w:eastAsia="仿宋_GB2312" w:cs="Times New Roman"/>
          <w:kern w:val="0"/>
          <w:sz w:val="28"/>
          <w:szCs w:val="20"/>
        </w:rPr>
        <w:t>贮存和运输要求：规定海鲜预制菜的贮存和运输要求，包括贮存温度、贮存时间、运输条件等方面的要求，确保产品的质量和安全性能。</w:t>
      </w:r>
    </w:p>
    <w:p>
      <w:pPr>
        <w:kinsoku w:val="0"/>
        <w:autoSpaceDE w:val="0"/>
        <w:autoSpaceDN w:val="0"/>
        <w:adjustRightInd w:val="0"/>
        <w:snapToGrid w:val="0"/>
        <w:spacing w:line="360" w:lineRule="auto"/>
        <w:ind w:firstLine="560" w:firstLineChars="200"/>
        <w:jc w:val="left"/>
        <w:textAlignment w:val="baseline"/>
        <w:rPr>
          <w:rFonts w:ascii="宋体" w:hAnsi="Times New Roman" w:eastAsia="仿宋_GB2312" w:cs="Times New Roman"/>
          <w:kern w:val="0"/>
          <w:sz w:val="28"/>
          <w:szCs w:val="20"/>
        </w:rPr>
      </w:pPr>
      <w:r>
        <w:rPr>
          <w:rFonts w:hint="eastAsia" w:ascii="宋体" w:hAnsi="Times New Roman" w:eastAsia="仿宋_GB2312" w:cs="Times New Roman"/>
          <w:kern w:val="0"/>
          <w:sz w:val="28"/>
          <w:szCs w:val="20"/>
        </w:rPr>
        <w:t>6、</w:t>
      </w:r>
      <w:r>
        <w:rPr>
          <w:rFonts w:ascii="宋体" w:hAnsi="Times New Roman" w:eastAsia="仿宋_GB2312" w:cs="Times New Roman"/>
          <w:kern w:val="0"/>
          <w:sz w:val="28"/>
          <w:szCs w:val="20"/>
        </w:rPr>
        <w:t>原辅料要求</w:t>
      </w:r>
    </w:p>
    <w:p>
      <w:pPr>
        <w:kinsoku w:val="0"/>
        <w:autoSpaceDE w:val="0"/>
        <w:autoSpaceDN w:val="0"/>
        <w:adjustRightInd w:val="0"/>
        <w:snapToGrid w:val="0"/>
        <w:spacing w:line="360" w:lineRule="auto"/>
        <w:ind w:firstLine="560" w:firstLineChars="200"/>
        <w:jc w:val="left"/>
        <w:textAlignment w:val="baseline"/>
        <w:rPr>
          <w:rFonts w:hint="eastAsia" w:ascii="宋体" w:hAnsi="Times New Roman" w:eastAsia="仿宋_GB2312" w:cs="Times New Roman"/>
          <w:kern w:val="0"/>
          <w:sz w:val="28"/>
          <w:szCs w:val="20"/>
        </w:rPr>
      </w:pPr>
      <w:r>
        <w:rPr>
          <w:rFonts w:hint="eastAsia" w:ascii="宋体" w:hAnsi="Times New Roman" w:eastAsia="仿宋_GB2312" w:cs="Times New Roman"/>
          <w:kern w:val="0"/>
          <w:sz w:val="28"/>
          <w:szCs w:val="20"/>
          <w:lang w:val="en-US" w:eastAsia="zh-CN"/>
        </w:rPr>
        <w:t>主要从质量和安全角度出发，对</w:t>
      </w:r>
      <w:r>
        <w:rPr>
          <w:rFonts w:hint="eastAsia" w:ascii="宋体" w:hAnsi="Times New Roman" w:eastAsia="仿宋_GB2312" w:cs="Times New Roman"/>
          <w:kern w:val="0"/>
          <w:sz w:val="28"/>
          <w:szCs w:val="20"/>
        </w:rPr>
        <w:t>主要原料、辅料</w:t>
      </w:r>
      <w:r>
        <w:rPr>
          <w:rFonts w:hint="eastAsia" w:ascii="宋体" w:hAnsi="Times New Roman" w:eastAsia="仿宋_GB2312" w:cs="Times New Roman"/>
          <w:kern w:val="0"/>
          <w:sz w:val="28"/>
          <w:szCs w:val="20"/>
          <w:lang w:val="en-US" w:eastAsia="zh-CN"/>
        </w:rPr>
        <w:t>两方面</w:t>
      </w:r>
      <w:r>
        <w:rPr>
          <w:rFonts w:hint="eastAsia" w:ascii="宋体" w:hAnsi="Times New Roman" w:eastAsia="仿宋_GB2312" w:cs="Times New Roman"/>
          <w:kern w:val="0"/>
          <w:sz w:val="28"/>
          <w:szCs w:val="20"/>
        </w:rPr>
        <w:t>进行规范要求。</w:t>
      </w:r>
    </w:p>
    <w:p>
      <w:pPr>
        <w:kinsoku w:val="0"/>
        <w:autoSpaceDE w:val="0"/>
        <w:autoSpaceDN w:val="0"/>
        <w:adjustRightInd w:val="0"/>
        <w:snapToGrid w:val="0"/>
        <w:spacing w:line="360" w:lineRule="auto"/>
        <w:ind w:firstLine="560" w:firstLineChars="200"/>
        <w:jc w:val="left"/>
        <w:textAlignment w:val="baseline"/>
        <w:rPr>
          <w:rFonts w:ascii="宋体" w:hAnsi="Times New Roman" w:eastAsia="仿宋_GB2312" w:cs="Times New Roman"/>
          <w:kern w:val="0"/>
          <w:sz w:val="28"/>
          <w:szCs w:val="20"/>
        </w:rPr>
      </w:pPr>
      <w:r>
        <w:rPr>
          <w:rFonts w:ascii="宋体" w:hAnsi="Times New Roman" w:eastAsia="仿宋_GB2312" w:cs="Times New Roman"/>
          <w:kern w:val="0"/>
          <w:sz w:val="28"/>
          <w:szCs w:val="20"/>
        </w:rPr>
        <w:t>7</w:t>
      </w:r>
      <w:r>
        <w:rPr>
          <w:rFonts w:hint="eastAsia" w:ascii="宋体" w:hAnsi="Times New Roman" w:eastAsia="仿宋_GB2312" w:cs="Times New Roman"/>
          <w:kern w:val="0"/>
          <w:sz w:val="28"/>
          <w:szCs w:val="20"/>
        </w:rPr>
        <w:t>、产品要求</w:t>
      </w:r>
    </w:p>
    <w:p>
      <w:pPr>
        <w:kinsoku w:val="0"/>
        <w:autoSpaceDE w:val="0"/>
        <w:autoSpaceDN w:val="0"/>
        <w:adjustRightInd w:val="0"/>
        <w:snapToGrid w:val="0"/>
        <w:spacing w:line="360" w:lineRule="auto"/>
        <w:ind w:firstLine="560" w:firstLineChars="200"/>
        <w:jc w:val="left"/>
        <w:textAlignment w:val="baseline"/>
        <w:rPr>
          <w:rFonts w:ascii="宋体" w:hAnsi="Times New Roman" w:eastAsia="仿宋_GB2312" w:cs="Times New Roman"/>
          <w:kern w:val="0"/>
          <w:sz w:val="28"/>
          <w:szCs w:val="20"/>
        </w:rPr>
      </w:pPr>
      <w:r>
        <w:rPr>
          <w:rFonts w:hint="eastAsia" w:ascii="宋体" w:hAnsi="Times New Roman" w:eastAsia="仿宋_GB2312" w:cs="Times New Roman"/>
          <w:kern w:val="0"/>
          <w:sz w:val="28"/>
          <w:szCs w:val="20"/>
          <w:lang w:val="en-US" w:eastAsia="zh-CN"/>
        </w:rPr>
        <w:t>本部分内容主要依据《GB 2761 食品安全国家标准 食品中真菌毒素限量》、《GB 2762 食品安全国家标准 食品中污染物限量》、《GB 2763 食品安全国家标准 食品中农药最大残留限量》、《</w:t>
      </w:r>
      <w:r>
        <w:rPr>
          <w:rFonts w:hint="default" w:ascii="宋体" w:hAnsi="Times New Roman" w:eastAsia="仿宋_GB2312" w:cs="Times New Roman"/>
          <w:kern w:val="0"/>
          <w:sz w:val="28"/>
          <w:szCs w:val="20"/>
          <w:lang w:val="en-US" w:eastAsia="zh-CN"/>
        </w:rPr>
        <w:t>GB 29921 食品安全国家标准 预包装食品中致病菌限量</w:t>
      </w:r>
      <w:r>
        <w:rPr>
          <w:rFonts w:hint="eastAsia" w:ascii="宋体" w:hAnsi="Times New Roman" w:eastAsia="仿宋_GB2312" w:cs="Times New Roman"/>
          <w:kern w:val="0"/>
          <w:sz w:val="28"/>
          <w:szCs w:val="20"/>
          <w:lang w:val="en-US" w:eastAsia="zh-CN"/>
        </w:rPr>
        <w:t>》、《</w:t>
      </w:r>
      <w:r>
        <w:rPr>
          <w:rFonts w:hint="default" w:ascii="宋体" w:hAnsi="Times New Roman" w:eastAsia="仿宋_GB2312" w:cs="Times New Roman"/>
          <w:kern w:val="0"/>
          <w:sz w:val="28"/>
          <w:szCs w:val="20"/>
          <w:lang w:val="en-US" w:eastAsia="zh-CN"/>
        </w:rPr>
        <w:t>GB 31650 食品安全国家标准食品中兽药最大残留限量</w:t>
      </w:r>
      <w:r>
        <w:rPr>
          <w:rFonts w:hint="eastAsia" w:ascii="宋体" w:hAnsi="Times New Roman" w:eastAsia="仿宋_GB2312" w:cs="Times New Roman"/>
          <w:kern w:val="0"/>
          <w:sz w:val="28"/>
          <w:szCs w:val="20"/>
          <w:lang w:val="en-US" w:eastAsia="zh-CN"/>
        </w:rPr>
        <w:t>》等国家和行业标准，大连市海鲜预制菜标准化工作推进会上预制菜行业相关专家的建议以及走访调研大连市预制菜相关企业，广泛征求意见编写。</w:t>
      </w:r>
      <w:r>
        <w:rPr>
          <w:rFonts w:hint="eastAsia" w:ascii="宋体" w:hAnsi="Times New Roman" w:eastAsia="仿宋_GB2312" w:cs="Times New Roman"/>
          <w:kern w:val="0"/>
          <w:sz w:val="28"/>
          <w:szCs w:val="20"/>
        </w:rPr>
        <w:t>分别</w:t>
      </w:r>
      <w:bookmarkStart w:id="1" w:name="_Hlk141367733"/>
      <w:r>
        <w:rPr>
          <w:rFonts w:hint="eastAsia" w:ascii="宋体" w:hAnsi="Times New Roman" w:eastAsia="仿宋_GB2312" w:cs="Times New Roman"/>
          <w:kern w:val="0"/>
          <w:sz w:val="28"/>
          <w:szCs w:val="20"/>
        </w:rPr>
        <w:t>从感官、理化指标、食品安全指标、微生物限量、</w:t>
      </w:r>
      <w:r>
        <w:rPr>
          <w:rFonts w:ascii="宋体" w:hAnsi="Times New Roman" w:eastAsia="仿宋_GB2312" w:cs="Times New Roman"/>
          <w:kern w:val="0"/>
          <w:sz w:val="28"/>
          <w:szCs w:val="20"/>
        </w:rPr>
        <w:t>真菌毒素限量</w:t>
      </w:r>
      <w:r>
        <w:rPr>
          <w:rFonts w:hint="eastAsia" w:ascii="宋体" w:hAnsi="Times New Roman" w:eastAsia="仿宋_GB2312" w:cs="Times New Roman"/>
          <w:kern w:val="0"/>
          <w:sz w:val="28"/>
          <w:szCs w:val="20"/>
        </w:rPr>
        <w:t>、农药残留限量、兽药残留限量、与净含量等要素做了相应的要求</w:t>
      </w:r>
      <w:bookmarkEnd w:id="1"/>
      <w:r>
        <w:rPr>
          <w:rFonts w:hint="eastAsia" w:ascii="宋体" w:hAnsi="Times New Roman" w:eastAsia="仿宋_GB2312" w:cs="Times New Roman"/>
          <w:kern w:val="0"/>
          <w:sz w:val="28"/>
          <w:szCs w:val="20"/>
        </w:rPr>
        <w:t>。</w:t>
      </w:r>
    </w:p>
    <w:p>
      <w:pPr>
        <w:kinsoku w:val="0"/>
        <w:autoSpaceDE w:val="0"/>
        <w:autoSpaceDN w:val="0"/>
        <w:adjustRightInd w:val="0"/>
        <w:snapToGrid w:val="0"/>
        <w:spacing w:line="360" w:lineRule="auto"/>
        <w:ind w:firstLine="560" w:firstLineChars="200"/>
        <w:jc w:val="left"/>
        <w:textAlignment w:val="baseline"/>
        <w:rPr>
          <w:rFonts w:ascii="宋体" w:hAnsi="Times New Roman" w:eastAsia="仿宋_GB2312" w:cs="Times New Roman"/>
          <w:kern w:val="0"/>
          <w:sz w:val="28"/>
          <w:szCs w:val="20"/>
        </w:rPr>
      </w:pPr>
      <w:r>
        <w:rPr>
          <w:rFonts w:ascii="宋体" w:hAnsi="Times New Roman" w:eastAsia="仿宋_GB2312" w:cs="Times New Roman"/>
          <w:kern w:val="0"/>
          <w:sz w:val="28"/>
          <w:szCs w:val="20"/>
        </w:rPr>
        <w:t>8</w:t>
      </w:r>
      <w:r>
        <w:rPr>
          <w:rFonts w:hint="eastAsia" w:ascii="宋体" w:hAnsi="Times New Roman" w:eastAsia="仿宋_GB2312" w:cs="Times New Roman"/>
          <w:kern w:val="0"/>
          <w:sz w:val="28"/>
          <w:szCs w:val="20"/>
        </w:rPr>
        <w:t>、检验要求</w:t>
      </w:r>
    </w:p>
    <w:p>
      <w:pPr>
        <w:kinsoku w:val="0"/>
        <w:autoSpaceDE w:val="0"/>
        <w:autoSpaceDN w:val="0"/>
        <w:adjustRightInd w:val="0"/>
        <w:snapToGrid w:val="0"/>
        <w:spacing w:line="360" w:lineRule="auto"/>
        <w:ind w:firstLine="560" w:firstLineChars="200"/>
        <w:jc w:val="left"/>
        <w:textAlignment w:val="baseline"/>
        <w:rPr>
          <w:rFonts w:ascii="宋体" w:hAnsi="Times New Roman" w:eastAsia="仿宋_GB2312" w:cs="Times New Roman"/>
          <w:b/>
          <w:kern w:val="0"/>
          <w:sz w:val="28"/>
          <w:szCs w:val="20"/>
        </w:rPr>
      </w:pPr>
      <w:r>
        <w:rPr>
          <w:rFonts w:hint="eastAsia" w:ascii="宋体" w:hAnsi="Times New Roman" w:eastAsia="仿宋_GB2312" w:cs="Times New Roman"/>
          <w:kern w:val="0"/>
          <w:sz w:val="28"/>
          <w:szCs w:val="20"/>
          <w:lang w:val="en-US" w:eastAsia="zh-CN"/>
        </w:rPr>
        <w:t>本部分内容主要依据国家食品检查检验相关的法律法规和相应标准，</w:t>
      </w:r>
      <w:r>
        <w:rPr>
          <w:rFonts w:hint="eastAsia" w:ascii="宋体" w:hAnsi="Times New Roman" w:eastAsia="仿宋_GB2312" w:cs="Times New Roman"/>
          <w:kern w:val="0"/>
          <w:sz w:val="28"/>
          <w:szCs w:val="20"/>
        </w:rPr>
        <w:t>从企业的</w:t>
      </w:r>
      <w:r>
        <w:rPr>
          <w:rFonts w:ascii="宋体" w:hAnsi="Times New Roman" w:eastAsia="仿宋_GB2312" w:cs="Times New Roman"/>
          <w:kern w:val="0"/>
          <w:sz w:val="28"/>
          <w:szCs w:val="20"/>
        </w:rPr>
        <w:t>抽样规则、组批、检验方法、检验频次、检验记录、检验评价、检验改进等方面</w:t>
      </w:r>
      <w:r>
        <w:rPr>
          <w:rFonts w:hint="eastAsia" w:ascii="宋体" w:hAnsi="Times New Roman" w:eastAsia="仿宋_GB2312" w:cs="Times New Roman"/>
          <w:kern w:val="0"/>
          <w:sz w:val="28"/>
          <w:szCs w:val="20"/>
          <w:lang w:val="en-US" w:eastAsia="zh-CN"/>
        </w:rPr>
        <w:t>以及</w:t>
      </w:r>
      <w:r>
        <w:rPr>
          <w:rFonts w:ascii="宋体" w:hAnsi="Times New Roman" w:eastAsia="仿宋_GB2312" w:cs="Times New Roman"/>
          <w:kern w:val="0"/>
          <w:sz w:val="28"/>
          <w:szCs w:val="20"/>
        </w:rPr>
        <w:t>海鲜预制菜产品出厂</w:t>
      </w:r>
      <w:r>
        <w:rPr>
          <w:rFonts w:hint="eastAsia" w:ascii="宋体" w:hAnsi="Times New Roman" w:eastAsia="仿宋_GB2312" w:cs="Times New Roman"/>
          <w:kern w:val="0"/>
          <w:sz w:val="28"/>
          <w:szCs w:val="20"/>
        </w:rPr>
        <w:t>及其他方面</w:t>
      </w:r>
      <w:r>
        <w:rPr>
          <w:rFonts w:hint="eastAsia" w:ascii="宋体" w:hAnsi="Times New Roman" w:eastAsia="仿宋_GB2312" w:cs="Times New Roman"/>
          <w:kern w:val="0"/>
          <w:sz w:val="28"/>
          <w:szCs w:val="20"/>
          <w:lang w:val="en-US" w:eastAsia="zh-CN"/>
        </w:rPr>
        <w:t>给出了</w:t>
      </w:r>
      <w:r>
        <w:rPr>
          <w:rFonts w:hint="eastAsia" w:ascii="宋体" w:hAnsi="Times New Roman" w:eastAsia="仿宋_GB2312" w:cs="Times New Roman"/>
          <w:kern w:val="0"/>
          <w:sz w:val="28"/>
          <w:szCs w:val="20"/>
        </w:rPr>
        <w:t>相应要求。</w:t>
      </w:r>
    </w:p>
    <w:p>
      <w:pPr>
        <w:kinsoku w:val="0"/>
        <w:autoSpaceDE w:val="0"/>
        <w:autoSpaceDN w:val="0"/>
        <w:adjustRightInd w:val="0"/>
        <w:snapToGrid w:val="0"/>
        <w:spacing w:line="360" w:lineRule="auto"/>
        <w:ind w:firstLine="560" w:firstLineChars="200"/>
        <w:jc w:val="left"/>
        <w:textAlignment w:val="baseline"/>
        <w:rPr>
          <w:rFonts w:ascii="宋体" w:hAnsi="Times New Roman" w:eastAsia="仿宋_GB2312" w:cs="Times New Roman"/>
          <w:kern w:val="0"/>
          <w:sz w:val="28"/>
          <w:szCs w:val="20"/>
        </w:rPr>
      </w:pPr>
      <w:r>
        <w:rPr>
          <w:rFonts w:ascii="宋体" w:hAnsi="Times New Roman" w:eastAsia="仿宋_GB2312" w:cs="Times New Roman"/>
          <w:kern w:val="0"/>
          <w:sz w:val="28"/>
          <w:szCs w:val="20"/>
        </w:rPr>
        <w:t>9</w:t>
      </w:r>
      <w:r>
        <w:rPr>
          <w:rFonts w:hint="eastAsia" w:ascii="宋体" w:hAnsi="Times New Roman" w:eastAsia="仿宋_GB2312" w:cs="Times New Roman"/>
          <w:kern w:val="0"/>
          <w:sz w:val="28"/>
          <w:szCs w:val="20"/>
        </w:rPr>
        <w:t>、包装与标签</w:t>
      </w:r>
    </w:p>
    <w:p>
      <w:pPr>
        <w:widowControl/>
        <w:spacing w:line="360" w:lineRule="auto"/>
        <w:ind w:firstLine="560" w:firstLineChars="200"/>
        <w:rPr>
          <w:rFonts w:hint="default" w:ascii="宋体" w:hAnsi="Times New Roman" w:eastAsia="仿宋_GB2312" w:cs="Times New Roman"/>
          <w:kern w:val="0"/>
          <w:sz w:val="28"/>
          <w:szCs w:val="20"/>
          <w:lang w:val="en-US" w:eastAsia="zh-CN"/>
        </w:rPr>
      </w:pPr>
      <w:r>
        <w:rPr>
          <w:rFonts w:hint="eastAsia" w:ascii="宋体" w:hAnsi="Times New Roman" w:eastAsia="仿宋_GB2312" w:cs="Times New Roman"/>
          <w:kern w:val="0"/>
          <w:sz w:val="28"/>
          <w:szCs w:val="20"/>
          <w:lang w:val="en-US" w:eastAsia="zh-CN"/>
        </w:rPr>
        <w:t>本部分内容主要依据</w:t>
      </w:r>
      <w:r>
        <w:rPr>
          <w:rFonts w:ascii="宋体" w:hAnsi="Times New Roman" w:eastAsia="仿宋_GB2312" w:cs="Times New Roman"/>
          <w:kern w:val="0"/>
          <w:sz w:val="28"/>
          <w:szCs w:val="20"/>
        </w:rPr>
        <w:t>GB 4806.7</w:t>
      </w:r>
      <w:r>
        <w:rPr>
          <w:rFonts w:hint="eastAsia" w:ascii="宋体" w:hAnsi="Times New Roman" w:eastAsia="仿宋_GB2312" w:cs="Times New Roman"/>
          <w:kern w:val="0"/>
          <w:sz w:val="28"/>
          <w:szCs w:val="20"/>
          <w:lang w:eastAsia="zh-CN"/>
        </w:rPr>
        <w:t>、</w:t>
      </w:r>
      <w:r>
        <w:rPr>
          <w:rFonts w:ascii="宋体" w:hAnsi="Times New Roman" w:eastAsia="仿宋_GB2312" w:cs="Times New Roman"/>
          <w:kern w:val="0"/>
          <w:sz w:val="28"/>
          <w:szCs w:val="20"/>
        </w:rPr>
        <w:t>GB/T 6543</w:t>
      </w:r>
      <w:r>
        <w:rPr>
          <w:rFonts w:hint="eastAsia" w:ascii="宋体" w:hAnsi="Times New Roman" w:eastAsia="仿宋_GB2312" w:cs="Times New Roman"/>
          <w:kern w:val="0"/>
          <w:sz w:val="28"/>
          <w:szCs w:val="20"/>
          <w:lang w:val="en-US" w:eastAsia="zh-CN"/>
        </w:rPr>
        <w:t>中相关要求，对</w:t>
      </w:r>
      <w:r>
        <w:rPr>
          <w:rFonts w:ascii="宋体" w:hAnsi="Times New Roman" w:eastAsia="仿宋_GB2312" w:cs="Times New Roman"/>
          <w:kern w:val="0"/>
          <w:sz w:val="28"/>
          <w:szCs w:val="20"/>
        </w:rPr>
        <w:t>塑料包装材料</w:t>
      </w:r>
      <w:r>
        <w:rPr>
          <w:rFonts w:hint="eastAsia" w:ascii="宋体" w:hAnsi="Times New Roman" w:eastAsia="仿宋_GB2312" w:cs="Times New Roman"/>
          <w:kern w:val="0"/>
          <w:sz w:val="28"/>
          <w:szCs w:val="20"/>
          <w:lang w:eastAsia="zh-CN"/>
        </w:rPr>
        <w:t>、</w:t>
      </w:r>
      <w:r>
        <w:rPr>
          <w:rFonts w:ascii="宋体" w:hAnsi="Times New Roman" w:eastAsia="仿宋_GB2312" w:cs="Times New Roman"/>
          <w:kern w:val="0"/>
          <w:sz w:val="28"/>
          <w:szCs w:val="20"/>
        </w:rPr>
        <w:t>外包装用瓦楞纸箱</w:t>
      </w:r>
      <w:r>
        <w:rPr>
          <w:rFonts w:hint="eastAsia" w:ascii="宋体" w:hAnsi="Times New Roman" w:eastAsia="仿宋_GB2312" w:cs="Times New Roman"/>
          <w:kern w:val="0"/>
          <w:sz w:val="28"/>
          <w:szCs w:val="20"/>
          <w:lang w:val="en-US" w:eastAsia="zh-CN"/>
        </w:rPr>
        <w:t>等要素做出了具体要求。</w:t>
      </w:r>
    </w:p>
    <w:p>
      <w:pPr>
        <w:widowControl/>
        <w:spacing w:line="360" w:lineRule="auto"/>
        <w:ind w:firstLine="560" w:firstLineChars="200"/>
        <w:rPr>
          <w:rFonts w:hint="eastAsia" w:ascii="宋体" w:hAnsi="Times New Roman" w:eastAsia="仿宋_GB2312" w:cs="Times New Roman"/>
          <w:kern w:val="0"/>
          <w:sz w:val="28"/>
          <w:szCs w:val="20"/>
        </w:rPr>
      </w:pPr>
      <w:r>
        <w:rPr>
          <w:rFonts w:ascii="宋体" w:hAnsi="Times New Roman" w:eastAsia="仿宋_GB2312" w:cs="Times New Roman"/>
          <w:kern w:val="0"/>
          <w:sz w:val="28"/>
          <w:szCs w:val="20"/>
        </w:rPr>
        <w:t>10　运输与贮存</w:t>
      </w:r>
    </w:p>
    <w:p>
      <w:pPr>
        <w:widowControl/>
        <w:spacing w:line="360" w:lineRule="auto"/>
        <w:ind w:firstLine="560" w:firstLineChars="200"/>
        <w:rPr>
          <w:rFonts w:ascii="宋体" w:hAnsi="Times New Roman" w:eastAsia="仿宋_GB2312" w:cs="Times New Roman"/>
          <w:kern w:val="0"/>
          <w:sz w:val="28"/>
          <w:szCs w:val="20"/>
        </w:rPr>
      </w:pPr>
      <w:r>
        <w:rPr>
          <w:rFonts w:ascii="宋体" w:hAnsi="Times New Roman" w:eastAsia="仿宋_GB2312" w:cs="Times New Roman"/>
          <w:kern w:val="0"/>
          <w:sz w:val="28"/>
          <w:szCs w:val="20"/>
        </w:rPr>
        <w:t>在保证产品质量、外观、形态的情况下，根据不同海鲜预制菜的特性选择不同的贮存要求，并应符合食品安全国家标准的规定。</w:t>
      </w:r>
    </w:p>
    <w:p>
      <w:pPr>
        <w:widowControl/>
        <w:spacing w:line="360" w:lineRule="auto"/>
        <w:ind w:firstLine="560" w:firstLineChars="200"/>
        <w:rPr>
          <w:rFonts w:hint="eastAsia" w:ascii="宋体" w:hAnsi="Times New Roman" w:eastAsia="仿宋_GB2312" w:cs="Times New Roman"/>
          <w:kern w:val="0"/>
          <w:sz w:val="28"/>
          <w:szCs w:val="20"/>
        </w:rPr>
      </w:pPr>
      <w:bookmarkStart w:id="2" w:name="_GoBack"/>
      <w:bookmarkEnd w:id="2"/>
      <w:r>
        <w:rPr>
          <w:rFonts w:ascii="宋体" w:hAnsi="Times New Roman" w:eastAsia="仿宋_GB2312" w:cs="Times New Roman"/>
          <w:kern w:val="0"/>
          <w:sz w:val="28"/>
          <w:szCs w:val="20"/>
        </w:rPr>
        <w:t>11　流通追溯</w:t>
      </w:r>
    </w:p>
    <w:p>
      <w:pPr>
        <w:widowControl/>
        <w:spacing w:line="360" w:lineRule="auto"/>
        <w:ind w:firstLine="560" w:firstLineChars="200"/>
        <w:rPr>
          <w:rFonts w:hint="default" w:ascii="宋体" w:hAnsi="Times New Roman" w:eastAsia="仿宋_GB2312" w:cs="Times New Roman"/>
          <w:kern w:val="0"/>
          <w:sz w:val="28"/>
          <w:szCs w:val="20"/>
          <w:lang w:val="en-US" w:eastAsia="zh-CN"/>
        </w:rPr>
      </w:pPr>
      <w:r>
        <w:rPr>
          <w:rFonts w:hint="eastAsia" w:ascii="宋体" w:hAnsi="Times New Roman" w:eastAsia="仿宋_GB2312" w:cs="Times New Roman"/>
          <w:kern w:val="0"/>
          <w:sz w:val="28"/>
          <w:szCs w:val="20"/>
          <w:lang w:val="en-US" w:eastAsia="zh-CN"/>
        </w:rPr>
        <w:t>本部分主要依据</w:t>
      </w:r>
      <w:r>
        <w:rPr>
          <w:rFonts w:ascii="宋体" w:hAnsi="Times New Roman" w:eastAsia="仿宋_GB2312" w:cs="Times New Roman"/>
          <w:kern w:val="0"/>
          <w:sz w:val="28"/>
          <w:szCs w:val="20"/>
        </w:rPr>
        <w:t>GB/T 38159</w:t>
      </w:r>
      <w:r>
        <w:rPr>
          <w:rFonts w:hint="eastAsia" w:ascii="宋体" w:hAnsi="Times New Roman" w:eastAsia="仿宋_GB2312" w:cs="Times New Roman"/>
          <w:kern w:val="0"/>
          <w:sz w:val="28"/>
          <w:szCs w:val="20"/>
          <w:lang w:eastAsia="zh-CN"/>
        </w:rPr>
        <w:t>、</w:t>
      </w:r>
      <w:r>
        <w:rPr>
          <w:rFonts w:ascii="宋体" w:hAnsi="Times New Roman" w:eastAsia="仿宋_GB2312" w:cs="Times New Roman"/>
          <w:kern w:val="0"/>
          <w:sz w:val="28"/>
          <w:szCs w:val="20"/>
        </w:rPr>
        <w:t>GB/T 28843</w:t>
      </w:r>
      <w:r>
        <w:rPr>
          <w:rFonts w:hint="eastAsia" w:ascii="宋体" w:hAnsi="Times New Roman" w:eastAsia="仿宋_GB2312" w:cs="Times New Roman"/>
          <w:kern w:val="0"/>
          <w:sz w:val="28"/>
          <w:szCs w:val="20"/>
          <w:lang w:val="en-US" w:eastAsia="zh-CN"/>
        </w:rPr>
        <w:t>中</w:t>
      </w:r>
      <w:r>
        <w:rPr>
          <w:rFonts w:ascii="宋体" w:hAnsi="Times New Roman" w:eastAsia="仿宋_GB2312" w:cs="Times New Roman"/>
          <w:kern w:val="0"/>
          <w:sz w:val="28"/>
          <w:szCs w:val="20"/>
        </w:rPr>
        <w:t>的要求</w:t>
      </w:r>
      <w:r>
        <w:rPr>
          <w:rFonts w:hint="eastAsia" w:ascii="宋体" w:hAnsi="Times New Roman" w:eastAsia="仿宋_GB2312" w:cs="Times New Roman"/>
          <w:kern w:val="0"/>
          <w:sz w:val="28"/>
          <w:szCs w:val="20"/>
          <w:lang w:val="en-US" w:eastAsia="zh-CN"/>
        </w:rPr>
        <w:t>对</w:t>
      </w:r>
      <w:r>
        <w:rPr>
          <w:rFonts w:ascii="宋体" w:hAnsi="Times New Roman" w:eastAsia="仿宋_GB2312" w:cs="Times New Roman"/>
          <w:kern w:val="0"/>
          <w:sz w:val="28"/>
          <w:szCs w:val="20"/>
        </w:rPr>
        <w:t>搭建产品追溯体系</w:t>
      </w:r>
      <w:r>
        <w:rPr>
          <w:rFonts w:hint="eastAsia" w:ascii="宋体" w:hAnsi="Times New Roman" w:eastAsia="仿宋_GB2312" w:cs="Times New Roman"/>
          <w:kern w:val="0"/>
          <w:sz w:val="28"/>
          <w:szCs w:val="20"/>
          <w:lang w:eastAsia="zh-CN"/>
        </w:rPr>
        <w:t>、</w:t>
      </w:r>
      <w:r>
        <w:rPr>
          <w:rFonts w:ascii="宋体" w:hAnsi="Times New Roman" w:eastAsia="仿宋_GB2312" w:cs="Times New Roman"/>
          <w:kern w:val="0"/>
          <w:sz w:val="28"/>
          <w:szCs w:val="20"/>
        </w:rPr>
        <w:t>需冷藏（冻）贮运的海鲜预制菜产品</w:t>
      </w:r>
      <w:r>
        <w:rPr>
          <w:rFonts w:hint="eastAsia" w:ascii="宋体" w:hAnsi="Times New Roman" w:eastAsia="仿宋_GB2312" w:cs="Times New Roman"/>
          <w:kern w:val="0"/>
          <w:sz w:val="28"/>
          <w:szCs w:val="20"/>
          <w:lang w:val="en-US" w:eastAsia="zh-CN"/>
        </w:rPr>
        <w:t>给出了具体要求。</w:t>
      </w:r>
    </w:p>
    <w:p>
      <w:pPr>
        <w:pStyle w:val="21"/>
        <w:numPr>
          <w:ilvl w:val="0"/>
          <w:numId w:val="0"/>
        </w:numPr>
        <w:spacing w:before="93" w:after="93"/>
        <w:ind w:left="600"/>
        <w:rPr>
          <w:color w:val="auto"/>
        </w:rPr>
      </w:pPr>
      <w:r>
        <w:rPr>
          <w:color w:val="auto"/>
        </w:rPr>
        <w:t>三、</w:t>
      </w:r>
      <w:r>
        <w:rPr>
          <w:rFonts w:hint="eastAsia"/>
          <w:color w:val="auto"/>
        </w:rPr>
        <w:t>主要预期社会经济效益分析</w:t>
      </w:r>
    </w:p>
    <w:p>
      <w:pPr>
        <w:kinsoku w:val="0"/>
        <w:autoSpaceDE w:val="0"/>
        <w:autoSpaceDN w:val="0"/>
        <w:adjustRightInd w:val="0"/>
        <w:snapToGrid w:val="0"/>
        <w:spacing w:line="360" w:lineRule="auto"/>
        <w:ind w:firstLine="560" w:firstLineChars="200"/>
        <w:jc w:val="left"/>
        <w:textAlignment w:val="baseline"/>
        <w:rPr>
          <w:rFonts w:ascii="宋体" w:hAnsi="Times New Roman" w:eastAsia="仿宋_GB2312" w:cs="Times New Roman"/>
          <w:kern w:val="0"/>
          <w:sz w:val="28"/>
          <w:szCs w:val="20"/>
        </w:rPr>
      </w:pPr>
      <w:r>
        <w:rPr>
          <w:rFonts w:hint="eastAsia" w:ascii="宋体" w:hAnsi="Times New Roman" w:eastAsia="仿宋_GB2312" w:cs="Times New Roman"/>
          <w:kern w:val="0"/>
          <w:sz w:val="28"/>
          <w:szCs w:val="20"/>
        </w:rPr>
        <w:t>本地方标准的制定和发布实施，将会提高海鲜预制菜有关企业生产、加工过程的规范性，提升从业人员的安全规范操作意识。生产、加工、贮存、配送等相关企业按标准要求进行操作，预期可取得以下经济效果：</w:t>
      </w:r>
    </w:p>
    <w:p>
      <w:pPr>
        <w:kinsoku w:val="0"/>
        <w:autoSpaceDE w:val="0"/>
        <w:autoSpaceDN w:val="0"/>
        <w:adjustRightInd w:val="0"/>
        <w:snapToGrid w:val="0"/>
        <w:spacing w:line="360" w:lineRule="auto"/>
        <w:ind w:firstLine="560" w:firstLineChars="200"/>
        <w:jc w:val="left"/>
        <w:textAlignment w:val="baseline"/>
        <w:rPr>
          <w:rFonts w:ascii="宋体" w:hAnsi="Times New Roman" w:eastAsia="仿宋_GB2312" w:cs="Times New Roman"/>
          <w:kern w:val="0"/>
          <w:sz w:val="28"/>
          <w:szCs w:val="20"/>
        </w:rPr>
      </w:pPr>
      <w:r>
        <w:rPr>
          <w:rFonts w:hint="eastAsia" w:ascii="宋体" w:hAnsi="Times New Roman" w:eastAsia="仿宋_GB2312" w:cs="Times New Roman"/>
          <w:kern w:val="0"/>
          <w:sz w:val="28"/>
          <w:szCs w:val="20"/>
        </w:rPr>
        <w:t>(1)在生产加工方面：相关企业及人员有了规范化操作的依据，可提高其标准化意识，提升产品品质。</w:t>
      </w:r>
    </w:p>
    <w:p>
      <w:pPr>
        <w:kinsoku w:val="0"/>
        <w:autoSpaceDE w:val="0"/>
        <w:autoSpaceDN w:val="0"/>
        <w:adjustRightInd w:val="0"/>
        <w:snapToGrid w:val="0"/>
        <w:spacing w:line="360" w:lineRule="auto"/>
        <w:ind w:firstLine="560" w:firstLineChars="200"/>
        <w:jc w:val="left"/>
        <w:textAlignment w:val="baseline"/>
        <w:rPr>
          <w:rFonts w:ascii="宋体" w:hAnsi="Times New Roman" w:eastAsia="仿宋_GB2312" w:cs="Times New Roman"/>
          <w:kern w:val="0"/>
          <w:sz w:val="28"/>
          <w:szCs w:val="20"/>
        </w:rPr>
      </w:pPr>
      <w:r>
        <w:rPr>
          <w:rFonts w:hint="eastAsia" w:ascii="宋体" w:hAnsi="Times New Roman" w:eastAsia="仿宋_GB2312" w:cs="Times New Roman"/>
          <w:kern w:val="0"/>
          <w:sz w:val="28"/>
          <w:szCs w:val="20"/>
        </w:rPr>
        <w:t>(2)在贮存经营方面：可提高我国海鲜预制菜产品的品质水平，减少不良品的产生，提高产品成品合格率，降低企业的生产成本，为企业带来更好的效益。</w:t>
      </w:r>
    </w:p>
    <w:p>
      <w:pPr>
        <w:kinsoku w:val="0"/>
        <w:autoSpaceDE w:val="0"/>
        <w:autoSpaceDN w:val="0"/>
        <w:adjustRightInd w:val="0"/>
        <w:snapToGrid w:val="0"/>
        <w:spacing w:line="360" w:lineRule="auto"/>
        <w:ind w:firstLine="560" w:firstLineChars="200"/>
        <w:jc w:val="left"/>
        <w:textAlignment w:val="baseline"/>
        <w:rPr>
          <w:rFonts w:ascii="宋体" w:hAnsi="Times New Roman" w:eastAsia="仿宋_GB2312" w:cs="Times New Roman"/>
          <w:kern w:val="0"/>
          <w:sz w:val="28"/>
          <w:szCs w:val="20"/>
        </w:rPr>
      </w:pPr>
      <w:r>
        <w:rPr>
          <w:rFonts w:hint="eastAsia" w:ascii="宋体" w:hAnsi="Times New Roman" w:eastAsia="仿宋_GB2312" w:cs="Times New Roman"/>
          <w:kern w:val="0"/>
          <w:sz w:val="28"/>
          <w:szCs w:val="20"/>
        </w:rPr>
        <w:t>(3)在产品流通方面：为广大消费者提供符合品质安全标准和高质量的预制菜产品，维护消费者的权益。</w:t>
      </w:r>
    </w:p>
    <w:p>
      <w:pPr>
        <w:kinsoku w:val="0"/>
        <w:autoSpaceDE w:val="0"/>
        <w:autoSpaceDN w:val="0"/>
        <w:adjustRightInd w:val="0"/>
        <w:snapToGrid w:val="0"/>
        <w:spacing w:line="360" w:lineRule="auto"/>
        <w:ind w:firstLine="560" w:firstLineChars="200"/>
        <w:jc w:val="left"/>
        <w:textAlignment w:val="baseline"/>
        <w:rPr>
          <w:rFonts w:ascii="宋体" w:hAnsi="Times New Roman" w:eastAsia="仿宋_GB2312" w:cs="Times New Roman"/>
          <w:kern w:val="0"/>
          <w:sz w:val="28"/>
          <w:szCs w:val="20"/>
        </w:rPr>
      </w:pPr>
      <w:r>
        <w:rPr>
          <w:rFonts w:hint="eastAsia" w:ascii="宋体" w:hAnsi="Times New Roman" w:eastAsia="仿宋_GB2312" w:cs="Times New Roman"/>
          <w:kern w:val="0"/>
          <w:sz w:val="28"/>
          <w:szCs w:val="20"/>
        </w:rPr>
        <w:t>(4)在市场管理方面：将有助于规范市场，推进海鲜预制菜产业的健康和可持续性发展，同时也为政府监管部门提供有力的技术支撑。</w:t>
      </w:r>
    </w:p>
    <w:p>
      <w:pPr>
        <w:pStyle w:val="21"/>
        <w:numPr>
          <w:ilvl w:val="0"/>
          <w:numId w:val="0"/>
        </w:numPr>
        <w:spacing w:before="93" w:after="93"/>
        <w:ind w:left="600"/>
      </w:pPr>
      <w:r>
        <w:t>四、</w:t>
      </w:r>
      <w:r>
        <w:rPr>
          <w:rFonts w:hint="eastAsia"/>
        </w:rPr>
        <w:t>与有关法律、法规和标准的关系</w:t>
      </w:r>
    </w:p>
    <w:p>
      <w:pPr>
        <w:kinsoku w:val="0"/>
        <w:autoSpaceDE w:val="0"/>
        <w:autoSpaceDN w:val="0"/>
        <w:adjustRightInd w:val="0"/>
        <w:snapToGrid w:val="0"/>
        <w:spacing w:line="360" w:lineRule="auto"/>
        <w:ind w:firstLine="560" w:firstLineChars="200"/>
        <w:jc w:val="left"/>
        <w:textAlignment w:val="baseline"/>
        <w:rPr>
          <w:rFonts w:ascii="宋体" w:hAnsi="Times New Roman" w:eastAsia="仿宋_GB2312" w:cs="Times New Roman"/>
          <w:kern w:val="0"/>
          <w:sz w:val="28"/>
          <w:szCs w:val="20"/>
        </w:rPr>
      </w:pPr>
      <w:r>
        <w:rPr>
          <w:rFonts w:hint="eastAsia" w:ascii="宋体" w:hAnsi="Times New Roman" w:eastAsia="仿宋_GB2312" w:cs="Times New Roman"/>
          <w:kern w:val="0"/>
          <w:sz w:val="28"/>
          <w:szCs w:val="20"/>
        </w:rPr>
        <w:t>本标准未采用国际标准或国外相关标准，符合现行法律、法规和强制性国家标准的要求，无重大分歧意见。本标准作为推荐性的地方标准起草发布实施后，可规范海鲜预制菜产业的一系列通用要求。建议由相关政府部门引导，开展本标准宣贯、关键技术培训和指导。</w:t>
      </w:r>
    </w:p>
    <w:p>
      <w:pPr>
        <w:pStyle w:val="21"/>
        <w:numPr>
          <w:ilvl w:val="0"/>
          <w:numId w:val="6"/>
        </w:numPr>
        <w:spacing w:before="93" w:after="93"/>
        <w:ind w:firstLineChars="0"/>
      </w:pPr>
      <w:r>
        <w:rPr>
          <w:rFonts w:hint="eastAsia"/>
        </w:rPr>
        <w:t>征求意见和分歧处理情况</w:t>
      </w:r>
    </w:p>
    <w:p>
      <w:pPr>
        <w:pStyle w:val="23"/>
        <w:ind w:firstLine="560"/>
      </w:pPr>
      <w:r>
        <w:rPr>
          <w:rFonts w:hint="eastAsia"/>
        </w:rPr>
        <w:t>无</w:t>
      </w:r>
    </w:p>
    <w:p>
      <w:pPr>
        <w:pStyle w:val="21"/>
        <w:numPr>
          <w:ilvl w:val="0"/>
          <w:numId w:val="0"/>
        </w:numPr>
        <w:spacing w:before="93" w:after="93"/>
        <w:ind w:left="708"/>
      </w:pPr>
      <w:r>
        <w:rPr>
          <w:rFonts w:hint="eastAsia"/>
        </w:rPr>
        <w:t>六、推动标准实施的措施建议</w:t>
      </w:r>
    </w:p>
    <w:p>
      <w:pPr>
        <w:pStyle w:val="23"/>
        <w:ind w:firstLine="560"/>
      </w:pPr>
      <w:r>
        <w:rPr>
          <w:rFonts w:hint="eastAsia"/>
        </w:rPr>
        <w:t>标准发布后，应组织对实施标准的单位和技术人员进行宣贯培训；主管部门对标准的实施情况进行检查，发现问题及时反馈，闭环管理，确保相关单位的正确理解和执行。</w:t>
      </w:r>
    </w:p>
    <w:p>
      <w:pPr>
        <w:pStyle w:val="21"/>
        <w:numPr>
          <w:ilvl w:val="0"/>
          <w:numId w:val="0"/>
        </w:numPr>
        <w:spacing w:before="93" w:after="93"/>
        <w:ind w:left="600"/>
      </w:pPr>
      <w:r>
        <w:t>七、</w:t>
      </w:r>
      <w:r>
        <w:rPr>
          <w:rFonts w:hint="eastAsia"/>
        </w:rPr>
        <w:t>其他应说明的事项</w:t>
      </w:r>
    </w:p>
    <w:p>
      <w:pPr>
        <w:pStyle w:val="23"/>
        <w:ind w:firstLine="560"/>
      </w:pPr>
      <w:r>
        <w:rPr>
          <w:rFonts w:hint="eastAsia"/>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微软雅黑"/>
    <w:panose1 w:val="00000000000000000000"/>
    <w:charset w:val="86"/>
    <w:family w:val="script"/>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121CAA"/>
    <w:multiLevelType w:val="multilevel"/>
    <w:tmpl w:val="4F121CAA"/>
    <w:lvl w:ilvl="0" w:tentative="0">
      <w:start w:val="1"/>
      <w:numFmt w:val="decimal"/>
      <w:pStyle w:val="18"/>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6B3DD6C4"/>
    <w:multiLevelType w:val="singleLevel"/>
    <w:tmpl w:val="6B3DD6C4"/>
    <w:lvl w:ilvl="0" w:tentative="0">
      <w:start w:val="2"/>
      <w:numFmt w:val="decimal"/>
      <w:suff w:val="nothing"/>
      <w:lvlText w:val="（%1）"/>
      <w:lvlJc w:val="left"/>
    </w:lvl>
  </w:abstractNum>
  <w:abstractNum w:abstractNumId="2">
    <w:nsid w:val="6CEA2025"/>
    <w:multiLevelType w:val="multilevel"/>
    <w:tmpl w:val="6CEA2025"/>
    <w:lvl w:ilvl="0" w:tentative="0">
      <w:start w:val="1"/>
      <w:numFmt w:val="none"/>
      <w:pStyle w:val="30"/>
      <w:suff w:val="nothing"/>
      <w:lvlText w:val="%1"/>
      <w:lvlJc w:val="left"/>
      <w:pPr>
        <w:ind w:left="0" w:firstLine="0"/>
      </w:pPr>
      <w:rPr>
        <w:rFonts w:hint="eastAsia"/>
      </w:rPr>
    </w:lvl>
    <w:lvl w:ilvl="1" w:tentative="0">
      <w:start w:val="1"/>
      <w:numFmt w:val="decimal"/>
      <w:pStyle w:val="28"/>
      <w:suff w:val="nothing"/>
      <w:lvlText w:val="%1%2　"/>
      <w:lvlJc w:val="left"/>
      <w:pPr>
        <w:ind w:left="0" w:firstLine="0"/>
      </w:pPr>
      <w:rPr>
        <w:rFonts w:hint="eastAsia" w:ascii="黑体" w:eastAsia="黑体"/>
        <w:b w:val="0"/>
        <w:i w:val="0"/>
        <w:sz w:val="21"/>
      </w:rPr>
    </w:lvl>
    <w:lvl w:ilvl="2" w:tentative="0">
      <w:start w:val="1"/>
      <w:numFmt w:val="decimal"/>
      <w:pStyle w:val="29"/>
      <w:suff w:val="nothing"/>
      <w:lvlText w:val="%1%2.%3　"/>
      <w:lvlJc w:val="left"/>
      <w:pPr>
        <w:ind w:left="1275"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24"/>
      <w:suff w:val="nothing"/>
      <w:lvlText w:val="%1%2.%3.%4　"/>
      <w:lvlJc w:val="left"/>
      <w:pPr>
        <w:ind w:left="1417" w:firstLine="0"/>
      </w:pPr>
      <w:rPr>
        <w:rFonts w:hint="eastAsia" w:ascii="黑体" w:eastAsia="黑体"/>
        <w:b w:val="0"/>
        <w:i w:val="0"/>
        <w:sz w:val="21"/>
      </w:rPr>
    </w:lvl>
    <w:lvl w:ilvl="4" w:tentative="0">
      <w:start w:val="1"/>
      <w:numFmt w:val="decimal"/>
      <w:pStyle w:val="25"/>
      <w:suff w:val="nothing"/>
      <w:lvlText w:val="%1%2.%3.%4.%5　"/>
      <w:lvlJc w:val="left"/>
      <w:pPr>
        <w:ind w:left="142" w:firstLine="0"/>
      </w:pPr>
      <w:rPr>
        <w:rFonts w:hint="eastAsia" w:ascii="黑体" w:eastAsia="黑体"/>
        <w:b w:val="0"/>
        <w:i w:val="0"/>
        <w:sz w:val="21"/>
      </w:rPr>
    </w:lvl>
    <w:lvl w:ilvl="5" w:tentative="0">
      <w:start w:val="1"/>
      <w:numFmt w:val="decimal"/>
      <w:pStyle w:val="26"/>
      <w:suff w:val="nothing"/>
      <w:lvlText w:val="%1%2.%3.%4.%5.%6　"/>
      <w:lvlJc w:val="left"/>
      <w:pPr>
        <w:ind w:left="0" w:firstLine="0"/>
      </w:pPr>
      <w:rPr>
        <w:rFonts w:hint="eastAsia" w:ascii="黑体" w:eastAsia="黑体"/>
        <w:b w:val="0"/>
        <w:i w:val="0"/>
        <w:sz w:val="21"/>
      </w:rPr>
    </w:lvl>
    <w:lvl w:ilvl="6" w:tentative="0">
      <w:start w:val="1"/>
      <w:numFmt w:val="decimal"/>
      <w:pStyle w:val="2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6F8D50C1"/>
    <w:multiLevelType w:val="multilevel"/>
    <w:tmpl w:val="6F8D50C1"/>
    <w:lvl w:ilvl="0" w:tentative="0">
      <w:start w:val="1"/>
      <w:numFmt w:val="japaneseCounting"/>
      <w:pStyle w:val="21"/>
      <w:lvlText w:val="%1、"/>
      <w:lvlJc w:val="left"/>
      <w:pPr>
        <w:ind w:left="1128" w:hanging="420"/>
      </w:pPr>
      <w:rPr>
        <w:rFonts w:hint="default"/>
      </w:r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7C9C485D"/>
    <w:multiLevelType w:val="multilevel"/>
    <w:tmpl w:val="7C9C485D"/>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7E606F06"/>
    <w:multiLevelType w:val="multilevel"/>
    <w:tmpl w:val="7E606F06"/>
    <w:lvl w:ilvl="0" w:tentative="0">
      <w:start w:val="5"/>
      <w:numFmt w:val="japaneseCounting"/>
      <w:lvlText w:val="%1、"/>
      <w:lvlJc w:val="left"/>
      <w:pPr>
        <w:ind w:left="1320" w:hanging="72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0"/>
  </w:num>
  <w:num w:numId="2">
    <w:abstractNumId w:val="3"/>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3ZDAwYTVkMTBlODMzN2EzMTg2MWY1M2U1MjAzZGIifQ=="/>
  </w:docVars>
  <w:rsids>
    <w:rsidRoot w:val="00146AB6"/>
    <w:rsid w:val="00002B5B"/>
    <w:rsid w:val="000171B6"/>
    <w:rsid w:val="000405F6"/>
    <w:rsid w:val="00060CB1"/>
    <w:rsid w:val="00087A79"/>
    <w:rsid w:val="000C4B40"/>
    <w:rsid w:val="000C7AD5"/>
    <w:rsid w:val="000E5C65"/>
    <w:rsid w:val="001046DA"/>
    <w:rsid w:val="00107623"/>
    <w:rsid w:val="00110FD1"/>
    <w:rsid w:val="0013677E"/>
    <w:rsid w:val="00145327"/>
    <w:rsid w:val="00146AB6"/>
    <w:rsid w:val="001541C7"/>
    <w:rsid w:val="00190396"/>
    <w:rsid w:val="001D4F70"/>
    <w:rsid w:val="00205039"/>
    <w:rsid w:val="00234A75"/>
    <w:rsid w:val="00243449"/>
    <w:rsid w:val="002838F3"/>
    <w:rsid w:val="002A0057"/>
    <w:rsid w:val="00307752"/>
    <w:rsid w:val="00316F0D"/>
    <w:rsid w:val="00332AE0"/>
    <w:rsid w:val="003573F5"/>
    <w:rsid w:val="003853E5"/>
    <w:rsid w:val="003A571C"/>
    <w:rsid w:val="003C2CF7"/>
    <w:rsid w:val="00402B5F"/>
    <w:rsid w:val="00420CD2"/>
    <w:rsid w:val="00442E27"/>
    <w:rsid w:val="00447E73"/>
    <w:rsid w:val="00472CC9"/>
    <w:rsid w:val="0047604C"/>
    <w:rsid w:val="00480F75"/>
    <w:rsid w:val="004A566D"/>
    <w:rsid w:val="004C47A7"/>
    <w:rsid w:val="004F2D81"/>
    <w:rsid w:val="00543D42"/>
    <w:rsid w:val="00560CFE"/>
    <w:rsid w:val="0057398E"/>
    <w:rsid w:val="005810AE"/>
    <w:rsid w:val="005945ED"/>
    <w:rsid w:val="005F481F"/>
    <w:rsid w:val="00607439"/>
    <w:rsid w:val="006100AD"/>
    <w:rsid w:val="00623CC8"/>
    <w:rsid w:val="0064393E"/>
    <w:rsid w:val="00653306"/>
    <w:rsid w:val="00662E99"/>
    <w:rsid w:val="00663F35"/>
    <w:rsid w:val="00683A4A"/>
    <w:rsid w:val="00696563"/>
    <w:rsid w:val="006A5CDE"/>
    <w:rsid w:val="006D1C6A"/>
    <w:rsid w:val="006F7F27"/>
    <w:rsid w:val="00702466"/>
    <w:rsid w:val="007045C9"/>
    <w:rsid w:val="00787BEF"/>
    <w:rsid w:val="007B616B"/>
    <w:rsid w:val="007C6190"/>
    <w:rsid w:val="00811DFC"/>
    <w:rsid w:val="00830B8D"/>
    <w:rsid w:val="00831403"/>
    <w:rsid w:val="008333E9"/>
    <w:rsid w:val="008449F6"/>
    <w:rsid w:val="00847561"/>
    <w:rsid w:val="008653C7"/>
    <w:rsid w:val="0086620F"/>
    <w:rsid w:val="00867A02"/>
    <w:rsid w:val="00882653"/>
    <w:rsid w:val="008826AC"/>
    <w:rsid w:val="00895F82"/>
    <w:rsid w:val="008B61FD"/>
    <w:rsid w:val="008D5EA9"/>
    <w:rsid w:val="00906E6C"/>
    <w:rsid w:val="009312D9"/>
    <w:rsid w:val="00936577"/>
    <w:rsid w:val="00940747"/>
    <w:rsid w:val="0094395A"/>
    <w:rsid w:val="00944DF9"/>
    <w:rsid w:val="009456EF"/>
    <w:rsid w:val="0095116A"/>
    <w:rsid w:val="0095739B"/>
    <w:rsid w:val="0096759F"/>
    <w:rsid w:val="009D53D0"/>
    <w:rsid w:val="009D7C71"/>
    <w:rsid w:val="00A019CF"/>
    <w:rsid w:val="00A05457"/>
    <w:rsid w:val="00A309FA"/>
    <w:rsid w:val="00A44D50"/>
    <w:rsid w:val="00AB4575"/>
    <w:rsid w:val="00AF41E0"/>
    <w:rsid w:val="00AF6762"/>
    <w:rsid w:val="00B449C9"/>
    <w:rsid w:val="00BC7B0F"/>
    <w:rsid w:val="00BE62CB"/>
    <w:rsid w:val="00C1247E"/>
    <w:rsid w:val="00C40411"/>
    <w:rsid w:val="00C425AE"/>
    <w:rsid w:val="00C42666"/>
    <w:rsid w:val="00C45593"/>
    <w:rsid w:val="00C5310D"/>
    <w:rsid w:val="00C65B18"/>
    <w:rsid w:val="00C84E9D"/>
    <w:rsid w:val="00C86389"/>
    <w:rsid w:val="00CA2A59"/>
    <w:rsid w:val="00CA5CB8"/>
    <w:rsid w:val="00CB5CB6"/>
    <w:rsid w:val="00CD5003"/>
    <w:rsid w:val="00CD593D"/>
    <w:rsid w:val="00CD75C3"/>
    <w:rsid w:val="00D10627"/>
    <w:rsid w:val="00D12F65"/>
    <w:rsid w:val="00D42716"/>
    <w:rsid w:val="00D750B0"/>
    <w:rsid w:val="00D85C90"/>
    <w:rsid w:val="00DB11C0"/>
    <w:rsid w:val="00DC2FCB"/>
    <w:rsid w:val="00DC5BF5"/>
    <w:rsid w:val="00DC6521"/>
    <w:rsid w:val="00DE262D"/>
    <w:rsid w:val="00DE3C9D"/>
    <w:rsid w:val="00E0239B"/>
    <w:rsid w:val="00E0686E"/>
    <w:rsid w:val="00E23778"/>
    <w:rsid w:val="00E26C78"/>
    <w:rsid w:val="00E36B7E"/>
    <w:rsid w:val="00E509BC"/>
    <w:rsid w:val="00E73A1C"/>
    <w:rsid w:val="00E95A4A"/>
    <w:rsid w:val="00EA08AA"/>
    <w:rsid w:val="00EA3D4C"/>
    <w:rsid w:val="00EB1ADB"/>
    <w:rsid w:val="00EB201E"/>
    <w:rsid w:val="00EE153F"/>
    <w:rsid w:val="00EF588F"/>
    <w:rsid w:val="00F2553B"/>
    <w:rsid w:val="00F30D59"/>
    <w:rsid w:val="00F334C2"/>
    <w:rsid w:val="00F6408F"/>
    <w:rsid w:val="00F734C3"/>
    <w:rsid w:val="00F84AB3"/>
    <w:rsid w:val="00FC5028"/>
    <w:rsid w:val="00FE321E"/>
    <w:rsid w:val="00FE6A38"/>
    <w:rsid w:val="00FF03C1"/>
    <w:rsid w:val="00FF2CA2"/>
    <w:rsid w:val="00FF55B5"/>
    <w:rsid w:val="01452EA4"/>
    <w:rsid w:val="01CC5EE4"/>
    <w:rsid w:val="04AA224D"/>
    <w:rsid w:val="05281683"/>
    <w:rsid w:val="079E551E"/>
    <w:rsid w:val="08311B3B"/>
    <w:rsid w:val="09BA4874"/>
    <w:rsid w:val="0B492353"/>
    <w:rsid w:val="0B6B22C9"/>
    <w:rsid w:val="0D3E0FC7"/>
    <w:rsid w:val="0F2C2A23"/>
    <w:rsid w:val="0FBF2BE4"/>
    <w:rsid w:val="11625F1D"/>
    <w:rsid w:val="13021765"/>
    <w:rsid w:val="15211C4B"/>
    <w:rsid w:val="166D339A"/>
    <w:rsid w:val="17DF6E85"/>
    <w:rsid w:val="18E5190D"/>
    <w:rsid w:val="1BC65455"/>
    <w:rsid w:val="1D746BEC"/>
    <w:rsid w:val="1E7E3C6A"/>
    <w:rsid w:val="21BF6A73"/>
    <w:rsid w:val="2265586D"/>
    <w:rsid w:val="27391076"/>
    <w:rsid w:val="29EC0622"/>
    <w:rsid w:val="2B9D4766"/>
    <w:rsid w:val="31DE48FC"/>
    <w:rsid w:val="323963CE"/>
    <w:rsid w:val="34761214"/>
    <w:rsid w:val="36287870"/>
    <w:rsid w:val="36437CF1"/>
    <w:rsid w:val="3B750477"/>
    <w:rsid w:val="3C237B19"/>
    <w:rsid w:val="3C85293C"/>
    <w:rsid w:val="40887FDF"/>
    <w:rsid w:val="421F113C"/>
    <w:rsid w:val="43AB5F64"/>
    <w:rsid w:val="43E42FB9"/>
    <w:rsid w:val="444A7FC7"/>
    <w:rsid w:val="4D145658"/>
    <w:rsid w:val="4DF416CF"/>
    <w:rsid w:val="4E710F72"/>
    <w:rsid w:val="4FAC7D88"/>
    <w:rsid w:val="4FB41A0C"/>
    <w:rsid w:val="510C4F82"/>
    <w:rsid w:val="536E3CD2"/>
    <w:rsid w:val="55CC0545"/>
    <w:rsid w:val="58606D32"/>
    <w:rsid w:val="590A3D61"/>
    <w:rsid w:val="5B6634E0"/>
    <w:rsid w:val="5BEE4D07"/>
    <w:rsid w:val="5DBD43E2"/>
    <w:rsid w:val="61A134C4"/>
    <w:rsid w:val="631B1734"/>
    <w:rsid w:val="636C644A"/>
    <w:rsid w:val="644A7E43"/>
    <w:rsid w:val="68AD09A1"/>
    <w:rsid w:val="69676DA1"/>
    <w:rsid w:val="69B1626F"/>
    <w:rsid w:val="6AD40467"/>
    <w:rsid w:val="6B6712DB"/>
    <w:rsid w:val="6C4C04D0"/>
    <w:rsid w:val="6E985C4F"/>
    <w:rsid w:val="6EE449F0"/>
    <w:rsid w:val="6F411E43"/>
    <w:rsid w:val="717A7D93"/>
    <w:rsid w:val="7298446F"/>
    <w:rsid w:val="7440091C"/>
    <w:rsid w:val="757F5473"/>
    <w:rsid w:val="767C0047"/>
    <w:rsid w:val="76F82E7F"/>
    <w:rsid w:val="770A5210"/>
    <w:rsid w:val="78121832"/>
    <w:rsid w:val="788C0453"/>
    <w:rsid w:val="79F17607"/>
    <w:rsid w:val="7C370855"/>
    <w:rsid w:val="7C5D6902"/>
    <w:rsid w:val="7CA272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0" w:semiHidden="0"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toc 7"/>
    <w:basedOn w:val="1"/>
    <w:next w:val="1"/>
    <w:unhideWhenUsed/>
    <w:uiPriority w:val="0"/>
    <w:pPr>
      <w:tabs>
        <w:tab w:val="right" w:leader="dot" w:pos="9344"/>
      </w:tabs>
      <w:adjustRightInd w:val="0"/>
      <w:spacing w:line="300" w:lineRule="exact"/>
      <w:ind w:left="1259"/>
    </w:pPr>
    <w:rPr>
      <w:rFonts w:ascii="宋体" w:hAnsi="Calibri" w:eastAsia="宋体" w:cs="Times New Roman"/>
      <w:szCs w:val="21"/>
    </w:rPr>
  </w:style>
  <w:style w:type="paragraph" w:styleId="3">
    <w:name w:val="annotation text"/>
    <w:basedOn w:val="1"/>
    <w:link w:val="17"/>
    <w:qFormat/>
    <w:uiPriority w:val="0"/>
    <w:pPr>
      <w:jc w:val="left"/>
    </w:pPr>
    <w:rPr>
      <w:rFonts w:ascii="Calibri" w:hAnsi="Calibri" w:eastAsia="宋体" w:cs="Times New Roman"/>
      <w:kern w:val="0"/>
      <w:szCs w:val="24"/>
    </w:rPr>
  </w:style>
  <w:style w:type="paragraph" w:styleId="4">
    <w:name w:val="footer"/>
    <w:basedOn w:val="1"/>
    <w:link w:val="13"/>
    <w:unhideWhenUsed/>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9">
    <w:name w:val="List Paragraph"/>
    <w:basedOn w:val="1"/>
    <w:qFormat/>
    <w:uiPriority w:val="34"/>
    <w:pPr>
      <w:ind w:firstLine="420" w:firstLineChars="200"/>
    </w:pPr>
  </w:style>
  <w:style w:type="paragraph" w:customStyle="1" w:styleId="10">
    <w:name w:val="标准文件_段"/>
    <w:link w:val="11"/>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character" w:customStyle="1" w:styleId="11">
    <w:name w:val="标准文件_段 Char"/>
    <w:link w:val="10"/>
    <w:qFormat/>
    <w:uiPriority w:val="0"/>
    <w:rPr>
      <w:rFonts w:ascii="宋体" w:hAnsi="Times New Roman" w:eastAsia="宋体" w:cs="Times New Roman"/>
      <w:kern w:val="0"/>
      <w:szCs w:val="20"/>
    </w:rPr>
  </w:style>
  <w:style w:type="character" w:customStyle="1" w:styleId="12">
    <w:name w:val="页脚 字符"/>
    <w:basedOn w:val="8"/>
    <w:semiHidden/>
    <w:qFormat/>
    <w:uiPriority w:val="99"/>
    <w:rPr>
      <w:sz w:val="18"/>
      <w:szCs w:val="18"/>
    </w:rPr>
  </w:style>
  <w:style w:type="character" w:customStyle="1" w:styleId="13">
    <w:name w:val="页脚 Char"/>
    <w:link w:val="4"/>
    <w:qFormat/>
    <w:uiPriority w:val="99"/>
    <w:rPr>
      <w:rFonts w:ascii="Times New Roman" w:hAnsi="Times New Roman" w:eastAsia="宋体" w:cs="Times New Roman"/>
      <w:sz w:val="18"/>
      <w:szCs w:val="18"/>
    </w:rPr>
  </w:style>
  <w:style w:type="character" w:customStyle="1" w:styleId="14">
    <w:name w:val="页眉 Char"/>
    <w:basedOn w:val="8"/>
    <w:link w:val="5"/>
    <w:qFormat/>
    <w:uiPriority w:val="99"/>
    <w:rPr>
      <w:sz w:val="18"/>
      <w:szCs w:val="18"/>
    </w:rPr>
  </w:style>
  <w:style w:type="paragraph" w:customStyle="1" w:styleId="15">
    <w:name w:val="段"/>
    <w:link w:val="16"/>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0"/>
      <w:sz w:val="20"/>
      <w:szCs w:val="20"/>
      <w:lang w:val="en-US" w:eastAsia="zh-CN" w:bidi="ar-SA"/>
    </w:rPr>
  </w:style>
  <w:style w:type="character" w:customStyle="1" w:styleId="16">
    <w:name w:val="段 Char"/>
    <w:link w:val="15"/>
    <w:qFormat/>
    <w:uiPriority w:val="0"/>
    <w:rPr>
      <w:rFonts w:ascii="宋体" w:hAnsi="Calibri" w:eastAsia="宋体" w:cs="Times New Roman"/>
      <w:kern w:val="0"/>
      <w:sz w:val="20"/>
      <w:szCs w:val="20"/>
    </w:rPr>
  </w:style>
  <w:style w:type="character" w:customStyle="1" w:styleId="17">
    <w:name w:val="批注文字 Char"/>
    <w:basedOn w:val="8"/>
    <w:link w:val="3"/>
    <w:qFormat/>
    <w:uiPriority w:val="0"/>
    <w:rPr>
      <w:rFonts w:ascii="Calibri" w:hAnsi="Calibri" w:eastAsia="宋体" w:cs="Times New Roman"/>
      <w:kern w:val="0"/>
      <w:szCs w:val="24"/>
    </w:rPr>
  </w:style>
  <w:style w:type="paragraph" w:customStyle="1" w:styleId="18">
    <w:name w:val="标准文件_一级项"/>
    <w:qFormat/>
    <w:uiPriority w:val="0"/>
    <w:pPr>
      <w:numPr>
        <w:ilvl w:val="0"/>
        <w:numId w:val="1"/>
      </w:numPr>
      <w:tabs>
        <w:tab w:val="left" w:pos="851"/>
        <w:tab w:val="left" w:pos="1702"/>
        <w:tab w:val="left" w:pos="1844"/>
        <w:tab w:val="left" w:pos="1986"/>
        <w:tab w:val="left" w:pos="3262"/>
        <w:tab w:val="left" w:pos="7514"/>
      </w:tabs>
    </w:pPr>
    <w:rPr>
      <w:rFonts w:ascii="宋体" w:hAnsi="Times New Roman" w:eastAsia="宋体" w:cs="Times New Roman"/>
      <w:kern w:val="0"/>
      <w:sz w:val="21"/>
      <w:szCs w:val="20"/>
      <w:lang w:val="en-US" w:eastAsia="zh-CN" w:bidi="ar-SA"/>
    </w:rPr>
  </w:style>
  <w:style w:type="paragraph" w:customStyle="1" w:styleId="19">
    <w:name w:val="标准文件_三级项"/>
    <w:basedOn w:val="1"/>
    <w:qFormat/>
    <w:uiPriority w:val="0"/>
    <w:pPr>
      <w:adjustRightInd w:val="0"/>
      <w:spacing w:line="536870612" w:lineRule="auto"/>
      <w:ind w:left="851" w:hanging="426"/>
    </w:pPr>
    <w:rPr>
      <w:rFonts w:ascii="Times New Roman" w:hAnsi="Times New Roman" w:eastAsia="宋体" w:cs="Times New Roman"/>
      <w:szCs w:val="21"/>
    </w:rPr>
  </w:style>
  <w:style w:type="paragraph" w:customStyle="1" w:styleId="20">
    <w:name w:val="标准文件_二级项2"/>
    <w:basedOn w:val="1"/>
    <w:qFormat/>
    <w:uiPriority w:val="0"/>
    <w:pPr>
      <w:widowControl/>
      <w:autoSpaceDE w:val="0"/>
      <w:autoSpaceDN w:val="0"/>
      <w:ind w:left="851"/>
    </w:pPr>
    <w:rPr>
      <w:rFonts w:ascii="宋体" w:hAnsi="Times New Roman" w:eastAsia="宋体" w:cs="Times New Roman"/>
      <w:kern w:val="0"/>
      <w:szCs w:val="20"/>
    </w:rPr>
  </w:style>
  <w:style w:type="paragraph" w:customStyle="1" w:styleId="21">
    <w:name w:val="第一级标题"/>
    <w:basedOn w:val="9"/>
    <w:qFormat/>
    <w:uiPriority w:val="0"/>
    <w:pPr>
      <w:numPr>
        <w:ilvl w:val="0"/>
        <w:numId w:val="2"/>
      </w:numPr>
      <w:spacing w:beforeLines="30" w:afterLines="30" w:line="360" w:lineRule="auto"/>
      <w:ind w:left="0" w:firstLine="200"/>
    </w:pPr>
    <w:rPr>
      <w:rFonts w:ascii="黑体" w:hAnsi="黑体" w:eastAsia="黑体"/>
      <w:sz w:val="30"/>
    </w:rPr>
  </w:style>
  <w:style w:type="paragraph" w:customStyle="1" w:styleId="22">
    <w:name w:val="第二级标题"/>
    <w:basedOn w:val="9"/>
    <w:qFormat/>
    <w:uiPriority w:val="0"/>
    <w:pPr>
      <w:ind w:firstLine="200"/>
      <w:jc w:val="left"/>
    </w:pPr>
    <w:rPr>
      <w:rFonts w:eastAsia="楷体_GB2312"/>
      <w:sz w:val="30"/>
    </w:rPr>
  </w:style>
  <w:style w:type="paragraph" w:customStyle="1" w:styleId="23">
    <w:name w:val="第五级正文"/>
    <w:basedOn w:val="10"/>
    <w:qFormat/>
    <w:uiPriority w:val="0"/>
    <w:pPr>
      <w:spacing w:line="360" w:lineRule="auto"/>
    </w:pPr>
    <w:rPr>
      <w:rFonts w:eastAsia="仿宋_GB2312"/>
      <w:sz w:val="28"/>
    </w:rPr>
  </w:style>
  <w:style w:type="paragraph" w:customStyle="1" w:styleId="24">
    <w:name w:val="标准文件_二级条标题"/>
    <w:next w:val="10"/>
    <w:qFormat/>
    <w:uiPriority w:val="0"/>
    <w:pPr>
      <w:widowControl w:val="0"/>
      <w:numPr>
        <w:ilvl w:val="3"/>
        <w:numId w:val="3"/>
      </w:numPr>
      <w:spacing w:beforeLines="50" w:afterLines="50"/>
      <w:jc w:val="both"/>
      <w:outlineLvl w:val="2"/>
    </w:pPr>
    <w:rPr>
      <w:rFonts w:ascii="黑体" w:hAnsi="Times New Roman" w:eastAsia="黑体" w:cs="Times New Roman"/>
      <w:kern w:val="0"/>
      <w:sz w:val="21"/>
      <w:szCs w:val="20"/>
      <w:lang w:val="en-US" w:eastAsia="zh-CN" w:bidi="ar-SA"/>
    </w:rPr>
  </w:style>
  <w:style w:type="paragraph" w:customStyle="1" w:styleId="25">
    <w:name w:val="标准文件_三级条标题"/>
    <w:basedOn w:val="24"/>
    <w:next w:val="10"/>
    <w:qFormat/>
    <w:uiPriority w:val="0"/>
    <w:pPr>
      <w:widowControl/>
      <w:numPr>
        <w:ilvl w:val="4"/>
      </w:numPr>
      <w:outlineLvl w:val="3"/>
    </w:pPr>
  </w:style>
  <w:style w:type="paragraph" w:customStyle="1" w:styleId="26">
    <w:name w:val="标准文件_四级条标题"/>
    <w:next w:val="10"/>
    <w:qFormat/>
    <w:uiPriority w:val="0"/>
    <w:pPr>
      <w:widowControl w:val="0"/>
      <w:numPr>
        <w:ilvl w:val="5"/>
        <w:numId w:val="3"/>
      </w:numPr>
      <w:spacing w:beforeLines="50" w:afterLines="50"/>
      <w:jc w:val="both"/>
      <w:outlineLvl w:val="4"/>
    </w:pPr>
    <w:rPr>
      <w:rFonts w:ascii="黑体" w:hAnsi="Times New Roman" w:eastAsia="黑体" w:cs="Times New Roman"/>
      <w:kern w:val="0"/>
      <w:sz w:val="21"/>
      <w:szCs w:val="20"/>
      <w:lang w:val="en-US" w:eastAsia="zh-CN" w:bidi="ar-SA"/>
    </w:rPr>
  </w:style>
  <w:style w:type="paragraph" w:customStyle="1" w:styleId="27">
    <w:name w:val="标准文件_五级条标题"/>
    <w:next w:val="10"/>
    <w:qFormat/>
    <w:uiPriority w:val="0"/>
    <w:pPr>
      <w:widowControl w:val="0"/>
      <w:numPr>
        <w:ilvl w:val="6"/>
        <w:numId w:val="3"/>
      </w:numPr>
      <w:spacing w:beforeLines="50" w:afterLines="50"/>
      <w:jc w:val="both"/>
      <w:outlineLvl w:val="5"/>
    </w:pPr>
    <w:rPr>
      <w:rFonts w:ascii="黑体" w:hAnsi="Times New Roman" w:eastAsia="黑体" w:cs="Times New Roman"/>
      <w:kern w:val="0"/>
      <w:sz w:val="21"/>
      <w:szCs w:val="20"/>
      <w:lang w:val="en-US" w:eastAsia="zh-CN" w:bidi="ar-SA"/>
    </w:rPr>
  </w:style>
  <w:style w:type="paragraph" w:customStyle="1" w:styleId="28">
    <w:name w:val="标准文件_章标题"/>
    <w:next w:val="10"/>
    <w:qFormat/>
    <w:uiPriority w:val="0"/>
    <w:pPr>
      <w:numPr>
        <w:ilvl w:val="1"/>
        <w:numId w:val="3"/>
      </w:numPr>
      <w:spacing w:beforeLines="100" w:afterLines="100"/>
      <w:jc w:val="both"/>
      <w:outlineLvl w:val="0"/>
    </w:pPr>
    <w:rPr>
      <w:rFonts w:ascii="黑体" w:hAnsi="Times New Roman" w:eastAsia="黑体" w:cs="Times New Roman"/>
      <w:kern w:val="0"/>
      <w:sz w:val="21"/>
      <w:szCs w:val="20"/>
      <w:lang w:val="en-US" w:eastAsia="zh-CN" w:bidi="ar-SA"/>
    </w:rPr>
  </w:style>
  <w:style w:type="paragraph" w:customStyle="1" w:styleId="29">
    <w:name w:val="标准文件_一级条标题"/>
    <w:basedOn w:val="28"/>
    <w:next w:val="10"/>
    <w:qFormat/>
    <w:uiPriority w:val="0"/>
    <w:pPr>
      <w:numPr>
        <w:ilvl w:val="2"/>
      </w:numPr>
      <w:spacing w:beforeLines="50" w:afterLines="50"/>
      <w:outlineLvl w:val="1"/>
    </w:pPr>
  </w:style>
  <w:style w:type="paragraph" w:customStyle="1" w:styleId="30">
    <w:name w:val="前言标题"/>
    <w:next w:val="1"/>
    <w:qFormat/>
    <w:uiPriority w:val="0"/>
    <w:pPr>
      <w:numPr>
        <w:ilvl w:val="0"/>
        <w:numId w:val="3"/>
      </w:numPr>
      <w:shd w:val="clear" w:color="FFFFFF" w:fill="FFFFFF"/>
      <w:spacing w:before="540" w:after="600"/>
      <w:jc w:val="center"/>
      <w:outlineLvl w:val="0"/>
    </w:pPr>
    <w:rPr>
      <w:rFonts w:ascii="黑体" w:hAnsi="Times New Roman" w:eastAsia="黑体" w:cs="Times New Roman"/>
      <w:kern w:val="0"/>
      <w:sz w:val="32"/>
      <w:szCs w:val="20"/>
      <w:lang w:val="en-US" w:eastAsia="zh-CN" w:bidi="ar-SA"/>
    </w:rPr>
  </w:style>
  <w:style w:type="paragraph" w:customStyle="1" w:styleId="31">
    <w:name w:val="标准文件_二级无标题"/>
    <w:basedOn w:val="24"/>
    <w:qFormat/>
    <w:uiPriority w:val="0"/>
    <w:pPr>
      <w:spacing w:beforeLines="0" w:afterLines="0"/>
      <w:outlineLvl w:val="9"/>
    </w:pPr>
    <w:rPr>
      <w:rFonts w:ascii="宋体" w:eastAsia="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11</Pages>
  <Words>4358</Words>
  <Characters>4568</Characters>
  <Lines>397</Lines>
  <Paragraphs>357</Paragraphs>
  <TotalTime>2</TotalTime>
  <ScaleCrop>false</ScaleCrop>
  <LinksUpToDate>false</LinksUpToDate>
  <CharactersWithSpaces>4662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2023-07-25T06:52:00Z</dcterms:created>
  <dc:creator>zz zz</dc:creator>
  <cp:lastModifiedBy>Adreyan</cp:lastModifiedBy>
  <cp:lastPrinted>2022-11-29T05:03:00Z</cp:lastPrinted>
  <dcterms:modified xsi:type="dcterms:W3CDTF">2023-08-10T06:21:52Z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19A4F04FFAB444E8B878751118171371_12</vt:lpwstr>
  </property>
</Properties>
</file>