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17707">
      <w:pPr>
        <w:jc w:val="center"/>
        <w:rPr>
          <w:rFonts w:hint="default" w:ascii="Times New Roman" w:hAnsi="Times New Roman" w:eastAsia="黑体" w:cs="Times New Roman"/>
          <w:sz w:val="36"/>
          <w:szCs w:val="36"/>
          <w:highlight w:val="none"/>
        </w:rPr>
      </w:pPr>
      <w:r>
        <w:rPr>
          <w:rFonts w:hint="default" w:ascii="Times New Roman" w:hAnsi="Times New Roman" w:eastAsia="黑体" w:cs="Times New Roman"/>
          <w:sz w:val="36"/>
          <w:szCs w:val="36"/>
          <w:highlight w:val="none"/>
        </w:rPr>
        <w:t>《氢燃料电池</w:t>
      </w:r>
      <w:r>
        <w:rPr>
          <w:rFonts w:hint="eastAsia" w:ascii="Times New Roman" w:hAnsi="Times New Roman" w:eastAsia="黑体" w:cs="Times New Roman"/>
          <w:sz w:val="36"/>
          <w:szCs w:val="36"/>
          <w:highlight w:val="none"/>
          <w:lang w:val="en-US" w:eastAsia="zh-CN"/>
        </w:rPr>
        <w:t>电动</w:t>
      </w:r>
      <w:r>
        <w:rPr>
          <w:rFonts w:hint="default" w:ascii="Times New Roman" w:hAnsi="Times New Roman" w:eastAsia="黑体" w:cs="Times New Roman"/>
          <w:sz w:val="36"/>
          <w:szCs w:val="36"/>
          <w:highlight w:val="none"/>
        </w:rPr>
        <w:t>商用车运行规范团体标准》</w:t>
      </w:r>
    </w:p>
    <w:p w14:paraId="545628FC">
      <w:pPr>
        <w:jc w:val="center"/>
        <w:rPr>
          <w:rFonts w:hint="default" w:ascii="Times New Roman" w:hAnsi="Times New Roman" w:eastAsia="黑体" w:cs="Times New Roman"/>
          <w:sz w:val="36"/>
          <w:szCs w:val="36"/>
          <w:highlight w:val="none"/>
        </w:rPr>
      </w:pPr>
      <w:r>
        <w:rPr>
          <w:rFonts w:hint="default" w:ascii="Times New Roman" w:hAnsi="Times New Roman" w:eastAsia="黑体" w:cs="Times New Roman"/>
          <w:sz w:val="36"/>
          <w:szCs w:val="36"/>
          <w:highlight w:val="none"/>
        </w:rPr>
        <w:t>团体标准编制说明</w:t>
      </w:r>
    </w:p>
    <w:p w14:paraId="2625637B">
      <w:pPr>
        <w:pStyle w:val="7"/>
        <w:numPr>
          <w:ilvl w:val="0"/>
          <w:numId w:val="1"/>
        </w:numPr>
        <w:spacing w:before="312" w:beforeLines="100" w:line="360" w:lineRule="auto"/>
        <w:ind w:firstLineChars="0"/>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工作简况</w:t>
      </w:r>
    </w:p>
    <w:p w14:paraId="51AEC3AF">
      <w:pPr>
        <w:pStyle w:val="7"/>
        <w:numPr>
          <w:ilvl w:val="0"/>
          <w:numId w:val="2"/>
        </w:numPr>
        <w:spacing w:line="360" w:lineRule="auto"/>
        <w:ind w:firstLineChars="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任务来源</w:t>
      </w:r>
    </w:p>
    <w:p w14:paraId="34FFC083">
      <w:pPr>
        <w:spacing w:line="360" w:lineRule="auto"/>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为了推动中国氢能产业的发展，</w:t>
      </w:r>
      <w:r>
        <w:rPr>
          <w:rFonts w:hint="default" w:ascii="Times New Roman" w:hAnsi="Times New Roman" w:cs="Times New Roman"/>
          <w:sz w:val="28"/>
          <w:szCs w:val="28"/>
          <w:highlight w:val="none"/>
          <w:lang w:val="en-US" w:eastAsia="zh-CN"/>
        </w:rPr>
        <w:t>推进燃料电池</w:t>
      </w:r>
      <w:r>
        <w:rPr>
          <w:rFonts w:hint="eastAsia" w:ascii="Times New Roman" w:hAnsi="Times New Roman" w:cs="Times New Roman"/>
          <w:sz w:val="28"/>
          <w:szCs w:val="28"/>
          <w:highlight w:val="none"/>
          <w:lang w:val="en-US" w:eastAsia="zh-CN"/>
        </w:rPr>
        <w:t>电动</w:t>
      </w:r>
      <w:r>
        <w:rPr>
          <w:rFonts w:hint="default" w:ascii="Times New Roman" w:hAnsi="Times New Roman" w:cs="Times New Roman"/>
          <w:sz w:val="28"/>
          <w:szCs w:val="28"/>
          <w:highlight w:val="none"/>
          <w:lang w:val="en-US" w:eastAsia="zh-CN"/>
        </w:rPr>
        <w:t>商用车的发展</w:t>
      </w:r>
      <w:r>
        <w:rPr>
          <w:rFonts w:hint="default" w:ascii="Times New Roman" w:hAnsi="Times New Roman" w:cs="Times New Roman"/>
          <w:sz w:val="28"/>
          <w:szCs w:val="28"/>
          <w:highlight w:val="none"/>
        </w:rPr>
        <w:t>，促进系统化和标准化的建设，以及推动氢能产业链高质量发展。经大连氢能产业发展促进协会团体标准批复立项《燃料电池</w:t>
      </w:r>
      <w:r>
        <w:rPr>
          <w:rFonts w:hint="eastAsia" w:ascii="Times New Roman" w:hAnsi="Times New Roman" w:cs="Times New Roman"/>
          <w:sz w:val="28"/>
          <w:szCs w:val="28"/>
          <w:highlight w:val="none"/>
          <w:lang w:val="en-US" w:eastAsia="zh-CN"/>
        </w:rPr>
        <w:t>电动</w:t>
      </w:r>
      <w:bookmarkStart w:id="1" w:name="_GoBack"/>
      <w:bookmarkEnd w:id="1"/>
      <w:r>
        <w:rPr>
          <w:rFonts w:hint="default" w:ascii="Times New Roman" w:hAnsi="Times New Roman" w:cs="Times New Roman"/>
          <w:sz w:val="28"/>
          <w:szCs w:val="28"/>
          <w:highlight w:val="none"/>
          <w:lang w:val="en-US" w:eastAsia="zh-CN"/>
        </w:rPr>
        <w:t>商用车运行规范</w:t>
      </w:r>
      <w:r>
        <w:rPr>
          <w:rFonts w:hint="default" w:ascii="Times New Roman" w:hAnsi="Times New Roman" w:cs="Times New Roman"/>
          <w:sz w:val="28"/>
          <w:szCs w:val="28"/>
          <w:highlight w:val="none"/>
        </w:rPr>
        <w:t>》。</w:t>
      </w:r>
    </w:p>
    <w:p w14:paraId="2AE96D96">
      <w:pPr>
        <w:pStyle w:val="7"/>
        <w:numPr>
          <w:ilvl w:val="0"/>
          <w:numId w:val="2"/>
        </w:numPr>
        <w:spacing w:line="360" w:lineRule="auto"/>
        <w:ind w:firstLineChars="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任务背景</w:t>
      </w:r>
    </w:p>
    <w:p w14:paraId="0A03A383">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氢燃料电池</w:t>
      </w:r>
      <w:r>
        <w:rPr>
          <w:rFonts w:hint="default" w:ascii="Times New Roman" w:hAnsi="Times New Roman" w:cs="Times New Roman"/>
          <w:sz w:val="28"/>
          <w:szCs w:val="28"/>
          <w:highlight w:val="none"/>
          <w:lang w:val="en-US" w:eastAsia="zh-CN"/>
        </w:rPr>
        <w:t>电动</w:t>
      </w:r>
      <w:r>
        <w:rPr>
          <w:rFonts w:hint="default" w:ascii="Times New Roman" w:hAnsi="Times New Roman" w:cs="Times New Roman"/>
          <w:sz w:val="28"/>
          <w:szCs w:val="28"/>
          <w:highlight w:val="none"/>
        </w:rPr>
        <w:t>商用车相较于内燃机商用车，具有能源利用效率高、排放物无污染等优势；相较于纯电动商用车，具有续驶里程长、载货效率高、补能时间短等优势，是商用车实现零碳转型的重要技术路线之一。《商用车碳中和技术路线图1.0》中，按照“PST3E”技术路径评估框架，采用“多要素融合分级决策”评估模型，综合评估了氢燃料电池</w:t>
      </w:r>
      <w:r>
        <w:rPr>
          <w:rFonts w:hint="default" w:ascii="Times New Roman" w:hAnsi="Times New Roman" w:cs="Times New Roman"/>
          <w:sz w:val="28"/>
          <w:szCs w:val="28"/>
          <w:highlight w:val="none"/>
          <w:lang w:val="en-US" w:eastAsia="zh-CN"/>
        </w:rPr>
        <w:t>电动</w:t>
      </w:r>
      <w:r>
        <w:rPr>
          <w:rFonts w:hint="default" w:ascii="Times New Roman" w:hAnsi="Times New Roman" w:cs="Times New Roman"/>
          <w:sz w:val="28"/>
          <w:szCs w:val="28"/>
          <w:highlight w:val="none"/>
        </w:rPr>
        <w:t>商用车的发展潜力和市场竞争力</w:t>
      </w:r>
      <w:r>
        <w:rPr>
          <w:rFonts w:hint="default" w:ascii="Times New Roman" w:hAnsi="Times New Roman" w:cs="Times New Roman"/>
          <w:sz w:val="28"/>
          <w:szCs w:val="28"/>
          <w:highlight w:val="none"/>
          <w:lang w:eastAsia="zh-CN"/>
        </w:rPr>
        <w:t>，并</w:t>
      </w:r>
      <w:r>
        <w:rPr>
          <w:rFonts w:hint="default" w:ascii="Times New Roman" w:hAnsi="Times New Roman" w:cs="Times New Roman"/>
          <w:sz w:val="28"/>
          <w:szCs w:val="28"/>
          <w:highlight w:val="none"/>
        </w:rPr>
        <w:t>提出</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rPr>
        <w:t>氢燃料电池商用车在短期内以示范城市群的中短途场景示范应用为主</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rPr>
        <w:t>2035年后在中长途运输场景开始实现批量化应用，并逐步成为商用车实现零碳、清洁运输的主要技术路线之一。</w:t>
      </w:r>
    </w:p>
    <w:p w14:paraId="39EC11B9">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lang w:eastAsia="zh-CN"/>
        </w:rPr>
        <w:t>目前大连市已经陆续推广应用燃料电池商用车近</w:t>
      </w:r>
      <w:r>
        <w:rPr>
          <w:rFonts w:hint="default" w:ascii="Times New Roman" w:hAnsi="Times New Roman" w:cs="Times New Roman"/>
          <w:sz w:val="28"/>
          <w:szCs w:val="28"/>
          <w:highlight w:val="none"/>
          <w:lang w:val="en-US" w:eastAsia="zh-CN"/>
        </w:rPr>
        <w:t>400辆，涉及公交、物流、港口、市政工程等多个场景，车辆吨位已经覆盖4.5吨到49吨，随着氢能示范工程的进一步推进其应用场景及车型也将逐步增加，而目前针对氢燃料电池电动商用车运行过程的基本条件、运行中危害的预防、燃料电池系统、车载供氢系统的日常点检和维护保养等缺乏规范性指导，特别是如何结合大连地区的区域特性，以明确氢燃料电池电动商用车运行规范，保障氢燃料电池电动商用车的安全运行。</w:t>
      </w:r>
    </w:p>
    <w:p w14:paraId="19A6DFD2">
      <w:pPr>
        <w:pStyle w:val="7"/>
        <w:numPr>
          <w:ilvl w:val="0"/>
          <w:numId w:val="2"/>
        </w:numPr>
        <w:spacing w:line="360" w:lineRule="auto"/>
        <w:ind w:firstLineChars="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主要工作过程</w:t>
      </w:r>
    </w:p>
    <w:p w14:paraId="5FC05BCC">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202</w:t>
      </w:r>
      <w:r>
        <w:rPr>
          <w:rFonts w:hint="default" w:ascii="Times New Roman" w:hAnsi="Times New Roman" w:cs="Times New Roman"/>
          <w:sz w:val="28"/>
          <w:szCs w:val="28"/>
          <w:highlight w:val="none"/>
          <w:lang w:val="en-US" w:eastAsia="zh-CN"/>
        </w:rPr>
        <w:t>4</w:t>
      </w:r>
      <w:r>
        <w:rPr>
          <w:rFonts w:hint="default" w:ascii="Times New Roman" w:hAnsi="Times New Roman" w:cs="Times New Roman"/>
          <w:sz w:val="28"/>
          <w:szCs w:val="28"/>
          <w:highlight w:val="none"/>
        </w:rPr>
        <w:t>年</w:t>
      </w:r>
      <w:r>
        <w:rPr>
          <w:rFonts w:hint="default" w:ascii="Times New Roman" w:hAnsi="Times New Roman" w:cs="Times New Roman"/>
          <w:sz w:val="28"/>
          <w:szCs w:val="28"/>
          <w:highlight w:val="none"/>
          <w:lang w:val="en-US" w:eastAsia="zh-CN"/>
        </w:rPr>
        <w:t>11</w:t>
      </w:r>
      <w:r>
        <w:rPr>
          <w:rFonts w:hint="default" w:ascii="Times New Roman" w:hAnsi="Times New Roman" w:cs="Times New Roman"/>
          <w:sz w:val="28"/>
          <w:szCs w:val="28"/>
          <w:highlight w:val="none"/>
        </w:rPr>
        <w:t>月提交标准提案预研。</w:t>
      </w:r>
    </w:p>
    <w:p w14:paraId="2AF25E54">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202</w:t>
      </w:r>
      <w:r>
        <w:rPr>
          <w:rFonts w:hint="default" w:ascii="Times New Roman" w:hAnsi="Times New Roman" w:cs="Times New Roman"/>
          <w:sz w:val="28"/>
          <w:szCs w:val="28"/>
          <w:highlight w:val="none"/>
          <w:lang w:val="en-US" w:eastAsia="zh-CN"/>
        </w:rPr>
        <w:t>4</w:t>
      </w:r>
      <w:r>
        <w:rPr>
          <w:rFonts w:hint="default" w:ascii="Times New Roman" w:hAnsi="Times New Roman" w:cs="Times New Roman"/>
          <w:sz w:val="28"/>
          <w:szCs w:val="28"/>
          <w:highlight w:val="none"/>
        </w:rPr>
        <w:t>年</w:t>
      </w:r>
      <w:r>
        <w:rPr>
          <w:rFonts w:hint="default" w:ascii="Times New Roman" w:hAnsi="Times New Roman" w:cs="Times New Roman"/>
          <w:sz w:val="28"/>
          <w:szCs w:val="28"/>
          <w:highlight w:val="none"/>
          <w:lang w:val="en-US" w:eastAsia="zh-CN"/>
        </w:rPr>
        <w:t>11</w:t>
      </w:r>
      <w:r>
        <w:rPr>
          <w:rFonts w:hint="default" w:ascii="Times New Roman" w:hAnsi="Times New Roman" w:cs="Times New Roman"/>
          <w:sz w:val="28"/>
          <w:szCs w:val="28"/>
          <w:highlight w:val="none"/>
        </w:rPr>
        <w:t>月，组建项目工作小组，制定工作方案和进程安排，明确小组成员工作任务。成员包括标准化专业人员、</w:t>
      </w:r>
      <w:r>
        <w:rPr>
          <w:rFonts w:hint="eastAsia" w:ascii="Times New Roman" w:hAnsi="Times New Roman" w:cs="Times New Roman"/>
          <w:sz w:val="28"/>
          <w:szCs w:val="28"/>
          <w:highlight w:val="none"/>
          <w:lang w:val="en-US" w:eastAsia="zh-CN"/>
        </w:rPr>
        <w:t>客运车辆</w:t>
      </w:r>
      <w:r>
        <w:rPr>
          <w:rFonts w:hint="default" w:ascii="Times New Roman" w:hAnsi="Times New Roman" w:cs="Times New Roman"/>
          <w:sz w:val="28"/>
          <w:szCs w:val="28"/>
          <w:highlight w:val="none"/>
          <w:lang w:val="en-US" w:eastAsia="zh-CN"/>
        </w:rPr>
        <w:t>等</w:t>
      </w:r>
      <w:r>
        <w:rPr>
          <w:rFonts w:hint="default" w:ascii="Times New Roman" w:hAnsi="Times New Roman" w:cs="Times New Roman"/>
          <w:sz w:val="28"/>
          <w:szCs w:val="28"/>
          <w:highlight w:val="none"/>
        </w:rPr>
        <w:t>相关企业和科研机构代表，确保了标准的制定规范化。</w:t>
      </w:r>
    </w:p>
    <w:p w14:paraId="5169FD46">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202</w:t>
      </w:r>
      <w:r>
        <w:rPr>
          <w:rFonts w:hint="default" w:ascii="Times New Roman" w:hAnsi="Times New Roman" w:cs="Times New Roman"/>
          <w:sz w:val="28"/>
          <w:szCs w:val="28"/>
          <w:highlight w:val="none"/>
          <w:lang w:val="en-US" w:eastAsia="zh-CN"/>
        </w:rPr>
        <w:t>4</w:t>
      </w:r>
      <w:r>
        <w:rPr>
          <w:rFonts w:hint="default" w:ascii="Times New Roman" w:hAnsi="Times New Roman" w:cs="Times New Roman"/>
          <w:sz w:val="28"/>
          <w:szCs w:val="28"/>
          <w:highlight w:val="none"/>
        </w:rPr>
        <w:t>年</w:t>
      </w:r>
      <w:r>
        <w:rPr>
          <w:rFonts w:hint="default" w:ascii="Times New Roman" w:hAnsi="Times New Roman" w:cs="Times New Roman"/>
          <w:sz w:val="28"/>
          <w:szCs w:val="28"/>
          <w:highlight w:val="none"/>
          <w:lang w:val="en-US" w:eastAsia="zh-CN"/>
        </w:rPr>
        <w:t>11</w:t>
      </w:r>
      <w:r>
        <w:rPr>
          <w:rFonts w:hint="default" w:ascii="Times New Roman" w:hAnsi="Times New Roman" w:cs="Times New Roman"/>
          <w:sz w:val="28"/>
          <w:szCs w:val="28"/>
          <w:highlight w:val="none"/>
        </w:rPr>
        <w:t>月，获大连市氢能产业发展促进协会团体标准批复立项。</w:t>
      </w:r>
    </w:p>
    <w:p w14:paraId="4D1EFE88">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2024年</w:t>
      </w:r>
      <w:r>
        <w:rPr>
          <w:rFonts w:hint="default" w:ascii="Times New Roman" w:hAnsi="Times New Roman" w:cs="Times New Roman"/>
          <w:sz w:val="28"/>
          <w:szCs w:val="28"/>
          <w:highlight w:val="none"/>
          <w:lang w:val="en-US" w:eastAsia="zh-CN"/>
        </w:rPr>
        <w:t>12</w:t>
      </w:r>
      <w:r>
        <w:rPr>
          <w:rFonts w:hint="default" w:ascii="Times New Roman" w:hAnsi="Times New Roman" w:cs="Times New Roman"/>
          <w:sz w:val="28"/>
          <w:szCs w:val="28"/>
          <w:highlight w:val="none"/>
        </w:rPr>
        <w:t>月形成标准草案。</w:t>
      </w:r>
    </w:p>
    <w:p w14:paraId="713DE9B5">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202</w:t>
      </w:r>
      <w:r>
        <w:rPr>
          <w:rFonts w:hint="eastAsia" w:ascii="Times New Roman" w:hAnsi="Times New Roman" w:cs="Times New Roman"/>
          <w:sz w:val="28"/>
          <w:szCs w:val="28"/>
          <w:highlight w:val="none"/>
          <w:lang w:val="en-US" w:eastAsia="zh-CN"/>
        </w:rPr>
        <w:t>5</w:t>
      </w:r>
      <w:r>
        <w:rPr>
          <w:rFonts w:hint="default" w:ascii="Times New Roman" w:hAnsi="Times New Roman" w:cs="Times New Roman"/>
          <w:sz w:val="28"/>
          <w:szCs w:val="28"/>
          <w:highlight w:val="none"/>
        </w:rPr>
        <w:t>年</w:t>
      </w:r>
      <w:r>
        <w:rPr>
          <w:rFonts w:hint="default" w:ascii="Times New Roman" w:hAnsi="Times New Roman" w:cs="Times New Roman"/>
          <w:sz w:val="28"/>
          <w:szCs w:val="28"/>
          <w:highlight w:val="none"/>
          <w:lang w:val="en-US" w:eastAsia="zh-CN"/>
        </w:rPr>
        <w:t>1</w:t>
      </w:r>
      <w:r>
        <w:rPr>
          <w:rFonts w:hint="default" w:ascii="Times New Roman" w:hAnsi="Times New Roman" w:cs="Times New Roman"/>
          <w:sz w:val="28"/>
          <w:szCs w:val="28"/>
          <w:highlight w:val="none"/>
        </w:rPr>
        <w:t>月召开标准研讨会。</w:t>
      </w:r>
    </w:p>
    <w:p w14:paraId="7B329F35">
      <w:pPr>
        <w:pStyle w:val="7"/>
        <w:ind w:firstLine="56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202</w:t>
      </w:r>
      <w:r>
        <w:rPr>
          <w:rFonts w:hint="default" w:ascii="Times New Roman" w:hAnsi="Times New Roman" w:cs="Times New Roman"/>
          <w:sz w:val="28"/>
          <w:szCs w:val="28"/>
          <w:highlight w:val="none"/>
          <w:lang w:val="en-US" w:eastAsia="zh-CN"/>
        </w:rPr>
        <w:t>5</w:t>
      </w:r>
      <w:r>
        <w:rPr>
          <w:rFonts w:hint="default" w:ascii="Times New Roman" w:hAnsi="Times New Roman" w:cs="Times New Roman"/>
          <w:sz w:val="28"/>
          <w:szCs w:val="28"/>
          <w:highlight w:val="none"/>
        </w:rPr>
        <w:t>年1月形成标准征求意见稿。</w:t>
      </w:r>
    </w:p>
    <w:p w14:paraId="617F8A04">
      <w:pPr>
        <w:spacing w:line="360" w:lineRule="auto"/>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（四）参编单位</w:t>
      </w:r>
    </w:p>
    <w:p w14:paraId="24A050F2">
      <w:pPr>
        <w:spacing w:line="360" w:lineRule="auto"/>
        <w:ind w:firstLine="560" w:firstLineChars="200"/>
        <w:rPr>
          <w:rFonts w:hint="default" w:ascii="Times New Roman" w:hAnsi="Times New Roman" w:cs="Times New Roman"/>
          <w:sz w:val="28"/>
          <w:szCs w:val="28"/>
          <w:highlight w:val="none"/>
        </w:rPr>
      </w:pPr>
      <w:r>
        <w:rPr>
          <w:rFonts w:hint="eastAsia" w:ascii="Times New Roman" w:hAnsi="Times New Roman" w:cs="Times New Roman"/>
          <w:sz w:val="28"/>
          <w:szCs w:val="28"/>
          <w:highlight w:val="none"/>
          <w:lang w:val="en-US" w:eastAsia="zh-CN"/>
        </w:rPr>
        <w:t>洺源科技（大连）有限公司</w:t>
      </w:r>
      <w:r>
        <w:rPr>
          <w:rFonts w:hint="default" w:ascii="Times New Roman" w:hAnsi="Times New Roman" w:cs="Times New Roman"/>
          <w:sz w:val="28"/>
          <w:szCs w:val="28"/>
          <w:highlight w:val="none"/>
        </w:rPr>
        <w:t>牵头，大连岩谷气体机具有限公司</w:t>
      </w:r>
      <w:r>
        <w:rPr>
          <w:rFonts w:hint="eastAsia" w:ascii="Times New Roman" w:hAnsi="Times New Roman" w:cs="Times New Roman"/>
          <w:sz w:val="28"/>
          <w:szCs w:val="28"/>
          <w:highlight w:val="none"/>
          <w:lang w:eastAsia="zh-CN"/>
        </w:rPr>
        <w:t>、</w:t>
      </w:r>
      <w:r>
        <w:rPr>
          <w:rFonts w:hint="default" w:ascii="Times New Roman" w:hAnsi="Times New Roman" w:cs="Times New Roman"/>
          <w:sz w:val="28"/>
          <w:szCs w:val="28"/>
          <w:highlight w:val="none"/>
        </w:rPr>
        <w:t>大连氢锋客车有限公司</w:t>
      </w:r>
      <w:r>
        <w:rPr>
          <w:rFonts w:hint="eastAsia" w:ascii="Times New Roman" w:hAnsi="Times New Roman" w:cs="Times New Roman"/>
          <w:sz w:val="28"/>
          <w:szCs w:val="28"/>
          <w:highlight w:val="none"/>
          <w:lang w:eastAsia="zh-CN"/>
        </w:rPr>
        <w:t>、</w:t>
      </w:r>
      <w:r>
        <w:rPr>
          <w:rFonts w:hint="eastAsia" w:ascii="Times New Roman" w:hAnsi="Times New Roman" w:cs="Times New Roman"/>
          <w:sz w:val="28"/>
          <w:szCs w:val="28"/>
          <w:highlight w:val="none"/>
          <w:lang w:val="en-US" w:eastAsia="zh-CN"/>
        </w:rPr>
        <w:t>大连公交客运集团有限公司、大连交通运输集团保税区汽车客运有限公司、中车</w:t>
      </w:r>
      <w:r>
        <w:rPr>
          <w:rFonts w:hint="default" w:ascii="Times New Roman" w:hAnsi="Times New Roman" w:cs="Times New Roman"/>
          <w:sz w:val="28"/>
          <w:szCs w:val="28"/>
          <w:highlight w:val="none"/>
        </w:rPr>
        <w:t>大连机车车辆有限公司</w:t>
      </w:r>
      <w:r>
        <w:rPr>
          <w:rFonts w:hint="eastAsia" w:ascii="Times New Roman" w:hAnsi="Times New Roman" w:cs="Times New Roman"/>
          <w:sz w:val="28"/>
          <w:szCs w:val="28"/>
          <w:highlight w:val="none"/>
          <w:lang w:eastAsia="zh-CN"/>
        </w:rPr>
        <w:t>、</w:t>
      </w:r>
      <w:r>
        <w:rPr>
          <w:rFonts w:hint="default" w:ascii="Times New Roman" w:hAnsi="Times New Roman" w:cs="Times New Roman"/>
          <w:sz w:val="28"/>
          <w:szCs w:val="28"/>
          <w:highlight w:val="none"/>
        </w:rPr>
        <w:t>大连顺通圣世物流有限公司等共同参与制定。</w:t>
      </w:r>
    </w:p>
    <w:p w14:paraId="5ECC1FA8">
      <w:pPr>
        <w:spacing w:line="360" w:lineRule="auto"/>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rPr>
        <w:t>（五）参编</w:t>
      </w:r>
      <w:r>
        <w:rPr>
          <w:rFonts w:hint="default" w:ascii="Times New Roman" w:hAnsi="Times New Roman" w:cs="Times New Roman"/>
          <w:sz w:val="28"/>
          <w:szCs w:val="28"/>
          <w:highlight w:val="none"/>
          <w:lang w:val="en-US" w:eastAsia="zh-CN"/>
        </w:rPr>
        <w:t>人员</w:t>
      </w:r>
    </w:p>
    <w:p w14:paraId="0E04DE5F">
      <w:pPr>
        <w:spacing w:line="560" w:lineRule="exact"/>
        <w:jc w:val="center"/>
        <w:rPr>
          <w:rFonts w:hint="default" w:ascii="Times New Roman" w:hAnsi="Times New Roman" w:eastAsia="方正仿宋_GB2312" w:cs="Times New Roman"/>
          <w:sz w:val="28"/>
          <w:szCs w:val="28"/>
          <w:highlight w:val="none"/>
        </w:rPr>
      </w:pPr>
      <w:r>
        <w:rPr>
          <w:rFonts w:hint="default" w:ascii="Times New Roman" w:hAnsi="Times New Roman" w:eastAsia="方正仿宋_GB2312" w:cs="Times New Roman"/>
          <w:sz w:val="28"/>
          <w:szCs w:val="28"/>
          <w:highlight w:val="none"/>
        </w:rPr>
        <w:t>表 1 主要起草人与任务分工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988"/>
        <w:gridCol w:w="3151"/>
        <w:gridCol w:w="1565"/>
        <w:gridCol w:w="1991"/>
      </w:tblGrid>
      <w:tr w14:paraId="0935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14:paraId="6D51CB8A">
            <w:pPr>
              <w:spacing w:line="560" w:lineRule="exact"/>
              <w:jc w:val="center"/>
              <w:rPr>
                <w:rFonts w:hint="default" w:ascii="Times New Roman" w:hAnsi="Times New Roman" w:eastAsia="方正仿宋_GB2312" w:cs="Times New Roman"/>
                <w:b/>
                <w:bCs/>
                <w:kern w:val="0"/>
                <w:sz w:val="28"/>
                <w:szCs w:val="28"/>
                <w:highlight w:val="none"/>
              </w:rPr>
            </w:pPr>
            <w:r>
              <w:rPr>
                <w:rFonts w:hint="default" w:ascii="Times New Roman" w:hAnsi="Times New Roman" w:eastAsia="方正仿宋_GB2312" w:cs="Times New Roman"/>
                <w:b/>
                <w:bCs/>
                <w:kern w:val="0"/>
                <w:sz w:val="28"/>
                <w:szCs w:val="28"/>
                <w:highlight w:val="none"/>
              </w:rPr>
              <w:t>序号</w:t>
            </w:r>
          </w:p>
        </w:tc>
        <w:tc>
          <w:tcPr>
            <w:tcW w:w="988" w:type="dxa"/>
          </w:tcPr>
          <w:p w14:paraId="30539534">
            <w:pPr>
              <w:spacing w:line="560" w:lineRule="exact"/>
              <w:jc w:val="center"/>
              <w:rPr>
                <w:rFonts w:hint="default" w:ascii="Times New Roman" w:hAnsi="Times New Roman" w:eastAsia="方正仿宋_GB2312" w:cs="Times New Roman"/>
                <w:b/>
                <w:bCs/>
                <w:kern w:val="0"/>
                <w:sz w:val="28"/>
                <w:szCs w:val="28"/>
                <w:highlight w:val="none"/>
              </w:rPr>
            </w:pPr>
            <w:r>
              <w:rPr>
                <w:rFonts w:hint="default" w:ascii="Times New Roman" w:hAnsi="Times New Roman" w:eastAsia="方正仿宋_GB2312" w:cs="Times New Roman"/>
                <w:b/>
                <w:bCs/>
                <w:kern w:val="0"/>
                <w:sz w:val="28"/>
                <w:szCs w:val="28"/>
                <w:highlight w:val="none"/>
              </w:rPr>
              <w:t>姓名</w:t>
            </w:r>
          </w:p>
        </w:tc>
        <w:tc>
          <w:tcPr>
            <w:tcW w:w="3151" w:type="dxa"/>
          </w:tcPr>
          <w:p w14:paraId="73450E5D">
            <w:pPr>
              <w:spacing w:line="560" w:lineRule="exact"/>
              <w:jc w:val="center"/>
              <w:rPr>
                <w:rFonts w:hint="default" w:ascii="Times New Roman" w:hAnsi="Times New Roman" w:eastAsia="方正仿宋_GB2312" w:cs="Times New Roman"/>
                <w:b/>
                <w:bCs/>
                <w:kern w:val="0"/>
                <w:sz w:val="28"/>
                <w:szCs w:val="28"/>
                <w:highlight w:val="none"/>
              </w:rPr>
            </w:pPr>
            <w:r>
              <w:rPr>
                <w:rFonts w:hint="default" w:ascii="Times New Roman" w:hAnsi="Times New Roman" w:eastAsia="方正仿宋_GB2312" w:cs="Times New Roman"/>
                <w:b/>
                <w:bCs/>
                <w:kern w:val="0"/>
                <w:sz w:val="28"/>
                <w:szCs w:val="28"/>
                <w:highlight w:val="none"/>
              </w:rPr>
              <w:t>工作单位</w:t>
            </w:r>
          </w:p>
        </w:tc>
        <w:tc>
          <w:tcPr>
            <w:tcW w:w="1565" w:type="dxa"/>
          </w:tcPr>
          <w:p w14:paraId="19F246A8">
            <w:pPr>
              <w:spacing w:line="560" w:lineRule="exact"/>
              <w:jc w:val="center"/>
              <w:rPr>
                <w:rFonts w:hint="default" w:ascii="Times New Roman" w:hAnsi="Times New Roman" w:eastAsia="方正仿宋_GB2312" w:cs="Times New Roman"/>
                <w:b/>
                <w:bCs/>
                <w:kern w:val="0"/>
                <w:sz w:val="28"/>
                <w:szCs w:val="28"/>
                <w:highlight w:val="none"/>
              </w:rPr>
            </w:pPr>
            <w:r>
              <w:rPr>
                <w:rFonts w:hint="default" w:ascii="Times New Roman" w:hAnsi="Times New Roman" w:eastAsia="方正仿宋_GB2312" w:cs="Times New Roman"/>
                <w:b/>
                <w:bCs/>
                <w:kern w:val="0"/>
                <w:sz w:val="28"/>
                <w:szCs w:val="28"/>
                <w:highlight w:val="none"/>
              </w:rPr>
              <w:t>职务/职称</w:t>
            </w:r>
          </w:p>
        </w:tc>
        <w:tc>
          <w:tcPr>
            <w:tcW w:w="1991" w:type="dxa"/>
          </w:tcPr>
          <w:p w14:paraId="71AF74CF">
            <w:pPr>
              <w:spacing w:line="560" w:lineRule="exact"/>
              <w:jc w:val="center"/>
              <w:rPr>
                <w:rFonts w:hint="default" w:ascii="Times New Roman" w:hAnsi="Times New Roman" w:eastAsia="方正仿宋_GB2312" w:cs="Times New Roman"/>
                <w:b/>
                <w:bCs/>
                <w:kern w:val="0"/>
                <w:sz w:val="28"/>
                <w:szCs w:val="28"/>
                <w:highlight w:val="none"/>
              </w:rPr>
            </w:pPr>
            <w:r>
              <w:rPr>
                <w:rFonts w:hint="default" w:ascii="Times New Roman" w:hAnsi="Times New Roman" w:eastAsia="方正仿宋_GB2312" w:cs="Times New Roman"/>
                <w:b/>
                <w:bCs/>
                <w:kern w:val="0"/>
                <w:sz w:val="28"/>
                <w:szCs w:val="28"/>
                <w:highlight w:val="none"/>
              </w:rPr>
              <w:t>任务分工</w:t>
            </w:r>
          </w:p>
        </w:tc>
      </w:tr>
      <w:tr w14:paraId="6334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04B38B8">
            <w:pPr>
              <w:spacing w:line="560" w:lineRule="exact"/>
              <w:jc w:val="center"/>
              <w:rPr>
                <w:rFonts w:hint="eastAsia"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1</w:t>
            </w:r>
          </w:p>
        </w:tc>
        <w:tc>
          <w:tcPr>
            <w:tcW w:w="988" w:type="dxa"/>
            <w:shd w:val="clear"/>
            <w:vAlign w:val="center"/>
          </w:tcPr>
          <w:p w14:paraId="099CF31B">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王正权</w:t>
            </w:r>
          </w:p>
        </w:tc>
        <w:tc>
          <w:tcPr>
            <w:tcW w:w="3151" w:type="dxa"/>
            <w:shd w:val="clear"/>
            <w:vAlign w:val="center"/>
          </w:tcPr>
          <w:p w14:paraId="6165A464">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洺源科技（大连）有限公司</w:t>
            </w:r>
          </w:p>
        </w:tc>
        <w:tc>
          <w:tcPr>
            <w:tcW w:w="1565" w:type="dxa"/>
            <w:shd w:val="clear"/>
            <w:vAlign w:val="center"/>
          </w:tcPr>
          <w:p w14:paraId="5A0C68D7">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副总经理</w:t>
            </w:r>
          </w:p>
        </w:tc>
        <w:tc>
          <w:tcPr>
            <w:tcW w:w="1991" w:type="dxa"/>
            <w:shd w:val="clear"/>
            <w:vAlign w:val="center"/>
          </w:tcPr>
          <w:p w14:paraId="21B84EE8">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标准草案编制</w:t>
            </w:r>
          </w:p>
        </w:tc>
      </w:tr>
      <w:tr w14:paraId="1ACFF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2AD7152">
            <w:pPr>
              <w:spacing w:line="560" w:lineRule="exact"/>
              <w:jc w:val="center"/>
              <w:rPr>
                <w:rFonts w:hint="default" w:ascii="Times New Roman" w:hAnsi="Times New Roman" w:eastAsia="方正仿宋_GB2312" w:cs="Times New Roman"/>
                <w:kern w:val="0"/>
                <w:sz w:val="24"/>
                <w:szCs w:val="24"/>
                <w:highlight w:val="none"/>
              </w:rPr>
            </w:pPr>
            <w:r>
              <w:rPr>
                <w:rFonts w:hint="default" w:ascii="Times New Roman" w:hAnsi="Times New Roman" w:eastAsia="方正仿宋_GB2312" w:cs="Times New Roman"/>
                <w:kern w:val="0"/>
                <w:sz w:val="24"/>
                <w:szCs w:val="24"/>
                <w:highlight w:val="none"/>
              </w:rPr>
              <w:t>2</w:t>
            </w:r>
          </w:p>
        </w:tc>
        <w:tc>
          <w:tcPr>
            <w:tcW w:w="988" w:type="dxa"/>
            <w:shd w:val="clear"/>
            <w:vAlign w:val="center"/>
          </w:tcPr>
          <w:p w14:paraId="19A03B98">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高攀</w:t>
            </w:r>
          </w:p>
        </w:tc>
        <w:tc>
          <w:tcPr>
            <w:tcW w:w="3151" w:type="dxa"/>
            <w:shd w:val="clear"/>
            <w:vAlign w:val="center"/>
          </w:tcPr>
          <w:p w14:paraId="29BA04EC">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洺源科技（大连）有限公司</w:t>
            </w:r>
          </w:p>
        </w:tc>
        <w:tc>
          <w:tcPr>
            <w:tcW w:w="1565" w:type="dxa"/>
            <w:shd w:val="clear"/>
            <w:vAlign w:val="center"/>
          </w:tcPr>
          <w:p w14:paraId="0527FE29">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主任</w:t>
            </w:r>
          </w:p>
        </w:tc>
        <w:tc>
          <w:tcPr>
            <w:tcW w:w="1991" w:type="dxa"/>
            <w:shd w:val="clear"/>
            <w:vAlign w:val="center"/>
          </w:tcPr>
          <w:p w14:paraId="59264B16">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标准草案编制</w:t>
            </w:r>
          </w:p>
        </w:tc>
      </w:tr>
      <w:tr w14:paraId="048E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E7B4F6E">
            <w:pPr>
              <w:spacing w:line="560" w:lineRule="exact"/>
              <w:jc w:val="center"/>
              <w:rPr>
                <w:rFonts w:hint="default" w:ascii="Times New Roman" w:hAnsi="Times New Roman" w:eastAsia="方正仿宋_GB2312" w:cs="Times New Roman"/>
                <w:kern w:val="0"/>
                <w:sz w:val="24"/>
                <w:szCs w:val="24"/>
                <w:highlight w:val="none"/>
              </w:rPr>
            </w:pPr>
            <w:r>
              <w:rPr>
                <w:rFonts w:hint="default" w:ascii="Times New Roman" w:hAnsi="Times New Roman" w:eastAsia="方正仿宋_GB2312" w:cs="Times New Roman"/>
                <w:kern w:val="0"/>
                <w:sz w:val="24"/>
                <w:szCs w:val="24"/>
                <w:highlight w:val="none"/>
              </w:rPr>
              <w:t>3</w:t>
            </w:r>
          </w:p>
        </w:tc>
        <w:tc>
          <w:tcPr>
            <w:tcW w:w="988" w:type="dxa"/>
            <w:shd w:val="clear"/>
            <w:vAlign w:val="center"/>
          </w:tcPr>
          <w:p w14:paraId="1863C3B9">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孟灵建</w:t>
            </w:r>
          </w:p>
        </w:tc>
        <w:tc>
          <w:tcPr>
            <w:tcW w:w="3151" w:type="dxa"/>
            <w:shd w:val="clear"/>
            <w:vAlign w:val="center"/>
          </w:tcPr>
          <w:p w14:paraId="65165B59">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洺源科技（大连）有限公司</w:t>
            </w:r>
          </w:p>
        </w:tc>
        <w:tc>
          <w:tcPr>
            <w:tcW w:w="1565" w:type="dxa"/>
            <w:shd w:val="clear"/>
            <w:vAlign w:val="center"/>
          </w:tcPr>
          <w:p w14:paraId="21A491A8">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经理</w:t>
            </w:r>
          </w:p>
        </w:tc>
        <w:tc>
          <w:tcPr>
            <w:tcW w:w="1991" w:type="dxa"/>
            <w:shd w:val="clear"/>
            <w:vAlign w:val="center"/>
          </w:tcPr>
          <w:p w14:paraId="53C969F2">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标准草案编制</w:t>
            </w:r>
          </w:p>
        </w:tc>
      </w:tr>
      <w:tr w14:paraId="5804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4C215D0C">
            <w:pPr>
              <w:spacing w:line="560" w:lineRule="exact"/>
              <w:jc w:val="center"/>
              <w:rPr>
                <w:rFonts w:hint="default" w:ascii="Times New Roman" w:hAnsi="Times New Roman" w:eastAsia="方正仿宋_GB2312" w:cs="Times New Roman"/>
                <w:kern w:val="0"/>
                <w:sz w:val="24"/>
                <w:szCs w:val="24"/>
                <w:highlight w:val="none"/>
              </w:rPr>
            </w:pPr>
            <w:r>
              <w:rPr>
                <w:rFonts w:hint="default" w:ascii="Times New Roman" w:hAnsi="Times New Roman" w:eastAsia="方正仿宋_GB2312" w:cs="Times New Roman"/>
                <w:kern w:val="0"/>
                <w:sz w:val="24"/>
                <w:szCs w:val="24"/>
                <w:highlight w:val="none"/>
              </w:rPr>
              <w:t>4</w:t>
            </w:r>
          </w:p>
        </w:tc>
        <w:tc>
          <w:tcPr>
            <w:tcW w:w="988" w:type="dxa"/>
            <w:shd w:val="clear"/>
            <w:vAlign w:val="center"/>
          </w:tcPr>
          <w:p w14:paraId="280F11C2">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付景秋</w:t>
            </w:r>
          </w:p>
        </w:tc>
        <w:tc>
          <w:tcPr>
            <w:tcW w:w="3151" w:type="dxa"/>
            <w:shd w:val="clear"/>
            <w:vAlign w:val="center"/>
          </w:tcPr>
          <w:p w14:paraId="31A0AF42">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洺源科技（大连）有限公司</w:t>
            </w:r>
          </w:p>
        </w:tc>
        <w:tc>
          <w:tcPr>
            <w:tcW w:w="1565" w:type="dxa"/>
            <w:shd w:val="clear"/>
            <w:vAlign w:val="center"/>
          </w:tcPr>
          <w:p w14:paraId="4B691916">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经理</w:t>
            </w:r>
          </w:p>
        </w:tc>
        <w:tc>
          <w:tcPr>
            <w:tcW w:w="1991" w:type="dxa"/>
            <w:shd w:val="clear"/>
            <w:vAlign w:val="center"/>
          </w:tcPr>
          <w:p w14:paraId="3A445D17">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标准草案编制</w:t>
            </w:r>
          </w:p>
        </w:tc>
      </w:tr>
      <w:tr w14:paraId="7FD4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77406344">
            <w:pPr>
              <w:spacing w:line="560" w:lineRule="exact"/>
              <w:jc w:val="center"/>
              <w:rPr>
                <w:rFonts w:hint="default" w:ascii="Times New Roman" w:hAnsi="Times New Roman" w:eastAsia="方正仿宋_GB2312" w:cs="Times New Roman"/>
                <w:kern w:val="0"/>
                <w:sz w:val="24"/>
                <w:szCs w:val="24"/>
                <w:highlight w:val="none"/>
              </w:rPr>
            </w:pPr>
            <w:r>
              <w:rPr>
                <w:rFonts w:hint="default" w:ascii="Times New Roman" w:hAnsi="Times New Roman" w:eastAsia="方正仿宋_GB2312" w:cs="Times New Roman"/>
                <w:kern w:val="0"/>
                <w:sz w:val="24"/>
                <w:szCs w:val="24"/>
                <w:highlight w:val="none"/>
              </w:rPr>
              <w:t>5</w:t>
            </w:r>
          </w:p>
        </w:tc>
        <w:tc>
          <w:tcPr>
            <w:tcW w:w="988" w:type="dxa"/>
            <w:shd w:val="clear" w:color="auto" w:fill="auto"/>
            <w:vAlign w:val="center"/>
          </w:tcPr>
          <w:p w14:paraId="4AFAE1FE">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嵇官成</w:t>
            </w:r>
          </w:p>
        </w:tc>
        <w:tc>
          <w:tcPr>
            <w:tcW w:w="3151" w:type="dxa"/>
            <w:shd w:val="clear" w:color="auto" w:fill="auto"/>
            <w:vAlign w:val="center"/>
          </w:tcPr>
          <w:p w14:paraId="243495D5">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洺源科技（大连）有限公司</w:t>
            </w:r>
          </w:p>
        </w:tc>
        <w:tc>
          <w:tcPr>
            <w:tcW w:w="1565" w:type="dxa"/>
            <w:shd w:val="clear" w:color="auto" w:fill="auto"/>
            <w:vAlign w:val="center"/>
          </w:tcPr>
          <w:p w14:paraId="4CCF77E1">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总经理</w:t>
            </w:r>
          </w:p>
        </w:tc>
        <w:tc>
          <w:tcPr>
            <w:tcW w:w="1991" w:type="dxa"/>
            <w:shd w:val="clear"/>
            <w:vAlign w:val="center"/>
          </w:tcPr>
          <w:p w14:paraId="0EB58B73">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标准草案编制</w:t>
            </w:r>
          </w:p>
        </w:tc>
      </w:tr>
      <w:tr w14:paraId="1101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826BFE4">
            <w:pPr>
              <w:spacing w:line="560" w:lineRule="exact"/>
              <w:jc w:val="center"/>
              <w:rPr>
                <w:rFonts w:hint="default" w:ascii="Times New Roman" w:hAnsi="Times New Roman" w:eastAsia="方正仿宋_GB2312" w:cs="Times New Roman"/>
                <w:kern w:val="0"/>
                <w:sz w:val="24"/>
                <w:szCs w:val="24"/>
                <w:highlight w:val="none"/>
              </w:rPr>
            </w:pPr>
            <w:r>
              <w:rPr>
                <w:rFonts w:hint="default" w:ascii="Times New Roman" w:hAnsi="Times New Roman" w:eastAsia="方正仿宋_GB2312" w:cs="Times New Roman"/>
                <w:kern w:val="0"/>
                <w:sz w:val="24"/>
                <w:szCs w:val="24"/>
                <w:highlight w:val="none"/>
              </w:rPr>
              <w:t>6</w:t>
            </w:r>
          </w:p>
        </w:tc>
        <w:tc>
          <w:tcPr>
            <w:tcW w:w="988" w:type="dxa"/>
            <w:shd w:val="clear" w:color="auto" w:fill="auto"/>
            <w:vAlign w:val="center"/>
          </w:tcPr>
          <w:p w14:paraId="20C7EE16">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徐振升</w:t>
            </w:r>
          </w:p>
        </w:tc>
        <w:tc>
          <w:tcPr>
            <w:tcW w:w="3151" w:type="dxa"/>
            <w:shd w:val="clear" w:color="auto" w:fill="auto"/>
            <w:vAlign w:val="center"/>
          </w:tcPr>
          <w:p w14:paraId="7D17A25A">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default" w:ascii="Times New Roman" w:hAnsi="Times New Roman" w:eastAsia="方正仿宋_GB2312" w:cs="Times New Roman"/>
                <w:kern w:val="0"/>
                <w:sz w:val="24"/>
                <w:szCs w:val="24"/>
                <w:highlight w:val="none"/>
              </w:rPr>
              <w:t>大连岩谷气体机具有限公司</w:t>
            </w:r>
          </w:p>
        </w:tc>
        <w:tc>
          <w:tcPr>
            <w:tcW w:w="1565" w:type="dxa"/>
            <w:shd w:val="clear" w:color="auto" w:fill="auto"/>
            <w:vAlign w:val="center"/>
          </w:tcPr>
          <w:p w14:paraId="5E3F10BC">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副总经理</w:t>
            </w:r>
          </w:p>
        </w:tc>
        <w:tc>
          <w:tcPr>
            <w:tcW w:w="1991" w:type="dxa"/>
            <w:shd w:val="clear" w:color="auto" w:fill="auto"/>
            <w:vAlign w:val="center"/>
          </w:tcPr>
          <w:p w14:paraId="28A2DF6E">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w:t>
            </w:r>
            <w:r>
              <w:rPr>
                <w:rFonts w:hint="eastAsia" w:ascii="Times New Roman" w:hAnsi="Times New Roman" w:eastAsia="方正仿宋_GB2312" w:cs="Times New Roman"/>
                <w:kern w:val="0"/>
                <w:sz w:val="24"/>
                <w:szCs w:val="24"/>
                <w:highlight w:val="none"/>
                <w:lang w:val="en-US" w:eastAsia="zh-CN"/>
              </w:rPr>
              <w:t>审核</w:t>
            </w:r>
          </w:p>
        </w:tc>
      </w:tr>
      <w:tr w14:paraId="1B73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20F49D6">
            <w:pPr>
              <w:spacing w:line="560" w:lineRule="exact"/>
              <w:jc w:val="center"/>
              <w:rPr>
                <w:rFonts w:hint="default" w:ascii="Times New Roman" w:hAnsi="Times New Roman" w:eastAsia="方正仿宋_GB2312" w:cs="Times New Roman"/>
                <w:kern w:val="0"/>
                <w:sz w:val="24"/>
                <w:szCs w:val="24"/>
                <w:highlight w:val="none"/>
              </w:rPr>
            </w:pPr>
            <w:r>
              <w:rPr>
                <w:rFonts w:hint="default" w:ascii="Times New Roman" w:hAnsi="Times New Roman" w:eastAsia="方正仿宋_GB2312" w:cs="Times New Roman"/>
                <w:kern w:val="0"/>
                <w:sz w:val="24"/>
                <w:szCs w:val="24"/>
                <w:highlight w:val="none"/>
              </w:rPr>
              <w:t>7</w:t>
            </w:r>
          </w:p>
        </w:tc>
        <w:tc>
          <w:tcPr>
            <w:tcW w:w="988" w:type="dxa"/>
            <w:shd w:val="clear"/>
            <w:vAlign w:val="center"/>
          </w:tcPr>
          <w:p w14:paraId="1CF1FAC3">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李康</w:t>
            </w:r>
          </w:p>
        </w:tc>
        <w:tc>
          <w:tcPr>
            <w:tcW w:w="3151" w:type="dxa"/>
            <w:shd w:val="clear"/>
            <w:vAlign w:val="center"/>
          </w:tcPr>
          <w:p w14:paraId="088DA4FB">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default" w:ascii="Times New Roman" w:hAnsi="Times New Roman" w:eastAsia="方正仿宋_GB2312" w:cs="Times New Roman"/>
                <w:kern w:val="0"/>
                <w:sz w:val="24"/>
                <w:szCs w:val="24"/>
                <w:highlight w:val="none"/>
              </w:rPr>
              <w:t>大连氢锋客车有限公司</w:t>
            </w:r>
          </w:p>
        </w:tc>
        <w:tc>
          <w:tcPr>
            <w:tcW w:w="1565" w:type="dxa"/>
            <w:shd w:val="clear"/>
            <w:vAlign w:val="center"/>
          </w:tcPr>
          <w:p w14:paraId="7FFB23BA">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研究院院长</w:t>
            </w:r>
          </w:p>
        </w:tc>
        <w:tc>
          <w:tcPr>
            <w:tcW w:w="1991" w:type="dxa"/>
            <w:shd w:val="clear"/>
            <w:vAlign w:val="center"/>
          </w:tcPr>
          <w:p w14:paraId="1D9C2A76">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w:t>
            </w:r>
            <w:r>
              <w:rPr>
                <w:rFonts w:hint="eastAsia" w:ascii="Times New Roman" w:hAnsi="Times New Roman" w:eastAsia="方正仿宋_GB2312" w:cs="Times New Roman"/>
                <w:kern w:val="0"/>
                <w:sz w:val="24"/>
                <w:szCs w:val="24"/>
                <w:highlight w:val="none"/>
                <w:lang w:val="en-US" w:eastAsia="zh-CN"/>
              </w:rPr>
              <w:t>审核</w:t>
            </w:r>
          </w:p>
        </w:tc>
      </w:tr>
      <w:tr w14:paraId="1C1FB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51066AE4">
            <w:pPr>
              <w:spacing w:line="560" w:lineRule="exact"/>
              <w:jc w:val="center"/>
              <w:rPr>
                <w:rFonts w:hint="eastAsia"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8</w:t>
            </w:r>
          </w:p>
        </w:tc>
        <w:tc>
          <w:tcPr>
            <w:tcW w:w="988" w:type="dxa"/>
            <w:shd w:val="clear"/>
            <w:vAlign w:val="center"/>
          </w:tcPr>
          <w:p w14:paraId="60B3C875">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曲道瑜</w:t>
            </w:r>
          </w:p>
        </w:tc>
        <w:tc>
          <w:tcPr>
            <w:tcW w:w="3151" w:type="dxa"/>
            <w:shd w:val="clear"/>
            <w:vAlign w:val="center"/>
          </w:tcPr>
          <w:p w14:paraId="6DDDF4EF">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大连公交客运集团有限公司</w:t>
            </w:r>
          </w:p>
        </w:tc>
        <w:tc>
          <w:tcPr>
            <w:tcW w:w="1565" w:type="dxa"/>
            <w:shd w:val="clear"/>
            <w:vAlign w:val="center"/>
          </w:tcPr>
          <w:p w14:paraId="4113E683">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部长</w:t>
            </w:r>
          </w:p>
        </w:tc>
        <w:tc>
          <w:tcPr>
            <w:tcW w:w="1991" w:type="dxa"/>
            <w:shd w:val="clear"/>
            <w:vAlign w:val="center"/>
          </w:tcPr>
          <w:p w14:paraId="1FC6C315">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w:t>
            </w:r>
            <w:r>
              <w:rPr>
                <w:rFonts w:hint="eastAsia" w:ascii="Times New Roman" w:hAnsi="Times New Roman" w:eastAsia="方正仿宋_GB2312" w:cs="Times New Roman"/>
                <w:kern w:val="0"/>
                <w:sz w:val="24"/>
                <w:szCs w:val="24"/>
                <w:highlight w:val="none"/>
                <w:lang w:val="en-US" w:eastAsia="zh-CN"/>
              </w:rPr>
              <w:t>审核</w:t>
            </w:r>
          </w:p>
        </w:tc>
      </w:tr>
      <w:tr w14:paraId="6BDD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shd w:val="clear"/>
            <w:vAlign w:val="center"/>
          </w:tcPr>
          <w:p w14:paraId="7F1AC134">
            <w:pPr>
              <w:spacing w:line="560" w:lineRule="exact"/>
              <w:jc w:val="center"/>
              <w:rPr>
                <w:rFonts w:hint="eastAsia" w:ascii="Times New Roman" w:hAnsi="Times New Roman" w:eastAsia="方正仿宋_GB2312" w:cs="Times New Roman"/>
                <w:kern w:val="0"/>
                <w:sz w:val="24"/>
                <w:szCs w:val="24"/>
                <w:highlight w:val="none"/>
                <w:lang w:val="en-US" w:eastAsia="zh-CN" w:bidi="ar-SA"/>
              </w:rPr>
            </w:pPr>
            <w:r>
              <w:rPr>
                <w:rFonts w:hint="eastAsia" w:ascii="Times New Roman" w:hAnsi="Times New Roman" w:eastAsia="方正仿宋_GB2312" w:cs="Times New Roman"/>
                <w:kern w:val="0"/>
                <w:sz w:val="24"/>
                <w:szCs w:val="24"/>
                <w:highlight w:val="none"/>
                <w:lang w:val="en-US" w:eastAsia="zh-CN"/>
              </w:rPr>
              <w:t>9</w:t>
            </w:r>
          </w:p>
        </w:tc>
        <w:tc>
          <w:tcPr>
            <w:tcW w:w="988" w:type="dxa"/>
            <w:shd w:val="clear"/>
            <w:vAlign w:val="center"/>
          </w:tcPr>
          <w:p w14:paraId="356D4142">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衣华</w:t>
            </w:r>
          </w:p>
        </w:tc>
        <w:tc>
          <w:tcPr>
            <w:tcW w:w="3151" w:type="dxa"/>
            <w:shd w:val="clear"/>
            <w:vAlign w:val="center"/>
          </w:tcPr>
          <w:p w14:paraId="3B20911C">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大连公交客运集团有限公司</w:t>
            </w:r>
          </w:p>
        </w:tc>
        <w:tc>
          <w:tcPr>
            <w:tcW w:w="1565" w:type="dxa"/>
            <w:shd w:val="clear"/>
            <w:vAlign w:val="center"/>
          </w:tcPr>
          <w:p w14:paraId="759D491E">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助理</w:t>
            </w:r>
          </w:p>
        </w:tc>
        <w:tc>
          <w:tcPr>
            <w:tcW w:w="1991" w:type="dxa"/>
            <w:shd w:val="clear"/>
            <w:vAlign w:val="center"/>
          </w:tcPr>
          <w:p w14:paraId="2F5C7EBB">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w:t>
            </w:r>
            <w:r>
              <w:rPr>
                <w:rFonts w:hint="eastAsia" w:ascii="Times New Roman" w:hAnsi="Times New Roman" w:eastAsia="方正仿宋_GB2312" w:cs="Times New Roman"/>
                <w:kern w:val="0"/>
                <w:sz w:val="24"/>
                <w:szCs w:val="24"/>
                <w:highlight w:val="none"/>
                <w:lang w:val="en-US" w:eastAsia="zh-CN"/>
              </w:rPr>
              <w:t>审核</w:t>
            </w:r>
          </w:p>
        </w:tc>
      </w:tr>
      <w:tr w14:paraId="61BF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shd w:val="clear"/>
            <w:vAlign w:val="center"/>
          </w:tcPr>
          <w:p w14:paraId="32BF1CB0">
            <w:pPr>
              <w:spacing w:line="560" w:lineRule="exact"/>
              <w:jc w:val="center"/>
              <w:rPr>
                <w:rFonts w:hint="eastAsia" w:ascii="Times New Roman" w:hAnsi="Times New Roman" w:eastAsia="方正仿宋_GB2312" w:cs="Times New Roman"/>
                <w:kern w:val="0"/>
                <w:sz w:val="24"/>
                <w:szCs w:val="24"/>
                <w:highlight w:val="none"/>
                <w:lang w:val="en-US" w:eastAsia="zh-CN" w:bidi="ar-SA"/>
              </w:rPr>
            </w:pPr>
            <w:r>
              <w:rPr>
                <w:rFonts w:hint="eastAsia" w:ascii="Times New Roman" w:hAnsi="Times New Roman" w:eastAsia="方正仿宋_GB2312" w:cs="Times New Roman"/>
                <w:kern w:val="0"/>
                <w:sz w:val="24"/>
                <w:szCs w:val="24"/>
                <w:highlight w:val="none"/>
                <w:lang w:val="en-US" w:eastAsia="zh-CN"/>
              </w:rPr>
              <w:t>10</w:t>
            </w:r>
          </w:p>
        </w:tc>
        <w:tc>
          <w:tcPr>
            <w:tcW w:w="988" w:type="dxa"/>
            <w:shd w:val="clear"/>
            <w:vAlign w:val="center"/>
          </w:tcPr>
          <w:p w14:paraId="6A67552E">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乔一</w:t>
            </w:r>
          </w:p>
        </w:tc>
        <w:tc>
          <w:tcPr>
            <w:tcW w:w="3151" w:type="dxa"/>
            <w:shd w:val="clear"/>
            <w:vAlign w:val="center"/>
          </w:tcPr>
          <w:p w14:paraId="0F62E2D3">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大连交通运输集团保税区汽车客运有限公司</w:t>
            </w:r>
          </w:p>
        </w:tc>
        <w:tc>
          <w:tcPr>
            <w:tcW w:w="1565" w:type="dxa"/>
            <w:shd w:val="clear"/>
            <w:vAlign w:val="center"/>
          </w:tcPr>
          <w:p w14:paraId="2DF6E228">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经理</w:t>
            </w:r>
          </w:p>
        </w:tc>
        <w:tc>
          <w:tcPr>
            <w:tcW w:w="1991" w:type="dxa"/>
            <w:shd w:val="clear"/>
            <w:vAlign w:val="center"/>
          </w:tcPr>
          <w:p w14:paraId="1E779B71">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w:t>
            </w:r>
            <w:r>
              <w:rPr>
                <w:rFonts w:hint="eastAsia" w:ascii="Times New Roman" w:hAnsi="Times New Roman" w:eastAsia="方正仿宋_GB2312" w:cs="Times New Roman"/>
                <w:kern w:val="0"/>
                <w:sz w:val="24"/>
                <w:szCs w:val="24"/>
                <w:highlight w:val="none"/>
                <w:lang w:val="en-US" w:eastAsia="zh-CN"/>
              </w:rPr>
              <w:t>审核</w:t>
            </w:r>
          </w:p>
        </w:tc>
      </w:tr>
      <w:tr w14:paraId="7582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shd w:val="clear"/>
            <w:vAlign w:val="center"/>
          </w:tcPr>
          <w:p w14:paraId="1ED82A61">
            <w:pPr>
              <w:spacing w:line="560" w:lineRule="exact"/>
              <w:jc w:val="center"/>
              <w:rPr>
                <w:rFonts w:hint="default" w:ascii="Times New Roman" w:hAnsi="Times New Roman" w:eastAsia="方正仿宋_GB2312" w:cs="Times New Roman"/>
                <w:kern w:val="0"/>
                <w:sz w:val="24"/>
                <w:szCs w:val="24"/>
                <w:highlight w:val="none"/>
                <w:lang w:val="en-US" w:eastAsia="zh-CN" w:bidi="ar-SA"/>
              </w:rPr>
            </w:pPr>
            <w:r>
              <w:rPr>
                <w:rFonts w:hint="eastAsia" w:ascii="Times New Roman" w:hAnsi="Times New Roman" w:eastAsia="方正仿宋_GB2312" w:cs="Times New Roman"/>
                <w:kern w:val="0"/>
                <w:sz w:val="24"/>
                <w:szCs w:val="24"/>
                <w:highlight w:val="none"/>
                <w:lang w:val="en-US" w:eastAsia="zh-CN"/>
              </w:rPr>
              <w:t>11</w:t>
            </w:r>
          </w:p>
        </w:tc>
        <w:tc>
          <w:tcPr>
            <w:tcW w:w="988" w:type="dxa"/>
            <w:shd w:val="clear"/>
            <w:vAlign w:val="center"/>
          </w:tcPr>
          <w:p w14:paraId="184807D2">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邢绍庆</w:t>
            </w:r>
          </w:p>
        </w:tc>
        <w:tc>
          <w:tcPr>
            <w:tcW w:w="3151" w:type="dxa"/>
            <w:shd w:val="clear"/>
            <w:vAlign w:val="center"/>
          </w:tcPr>
          <w:p w14:paraId="63D7AB5C">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中车</w:t>
            </w:r>
            <w:r>
              <w:rPr>
                <w:rFonts w:hint="default" w:ascii="Times New Roman" w:hAnsi="Times New Roman" w:eastAsia="方正仿宋_GB2312" w:cs="Times New Roman"/>
                <w:kern w:val="0"/>
                <w:sz w:val="24"/>
                <w:szCs w:val="24"/>
                <w:highlight w:val="none"/>
              </w:rPr>
              <w:t>大连机车车辆有限公司</w:t>
            </w:r>
          </w:p>
        </w:tc>
        <w:tc>
          <w:tcPr>
            <w:tcW w:w="1565" w:type="dxa"/>
            <w:shd w:val="clear"/>
            <w:vAlign w:val="center"/>
          </w:tcPr>
          <w:p w14:paraId="13B59048">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新能源动力设计师</w:t>
            </w:r>
          </w:p>
        </w:tc>
        <w:tc>
          <w:tcPr>
            <w:tcW w:w="1991" w:type="dxa"/>
            <w:shd w:val="clear"/>
            <w:vAlign w:val="center"/>
          </w:tcPr>
          <w:p w14:paraId="7CE0E998">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w:t>
            </w:r>
            <w:r>
              <w:rPr>
                <w:rFonts w:hint="eastAsia" w:ascii="Times New Roman" w:hAnsi="Times New Roman" w:eastAsia="方正仿宋_GB2312" w:cs="Times New Roman"/>
                <w:kern w:val="0"/>
                <w:sz w:val="24"/>
                <w:szCs w:val="24"/>
                <w:highlight w:val="none"/>
                <w:lang w:val="en-US" w:eastAsia="zh-CN"/>
              </w:rPr>
              <w:t>审核</w:t>
            </w:r>
          </w:p>
        </w:tc>
      </w:tr>
      <w:tr w14:paraId="4D4D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FC79C95">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12</w:t>
            </w:r>
          </w:p>
        </w:tc>
        <w:tc>
          <w:tcPr>
            <w:tcW w:w="988" w:type="dxa"/>
            <w:shd w:val="clear"/>
            <w:vAlign w:val="center"/>
          </w:tcPr>
          <w:p w14:paraId="1F479237">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刘卓轩</w:t>
            </w:r>
          </w:p>
        </w:tc>
        <w:tc>
          <w:tcPr>
            <w:tcW w:w="3151" w:type="dxa"/>
            <w:shd w:val="clear"/>
            <w:vAlign w:val="center"/>
          </w:tcPr>
          <w:p w14:paraId="2299EE38">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default" w:ascii="Times New Roman" w:hAnsi="Times New Roman" w:eastAsia="方正仿宋_GB2312" w:cs="Times New Roman"/>
                <w:kern w:val="0"/>
                <w:sz w:val="24"/>
                <w:szCs w:val="24"/>
                <w:highlight w:val="none"/>
              </w:rPr>
              <w:t>大连顺通圣世物流有限公司</w:t>
            </w:r>
          </w:p>
        </w:tc>
        <w:tc>
          <w:tcPr>
            <w:tcW w:w="1565" w:type="dxa"/>
            <w:shd w:val="clear"/>
            <w:vAlign w:val="center"/>
          </w:tcPr>
          <w:p w14:paraId="752551C0">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lang w:val="en-US" w:eastAsia="zh-CN"/>
              </w:rPr>
              <w:t>经理</w:t>
            </w:r>
          </w:p>
        </w:tc>
        <w:tc>
          <w:tcPr>
            <w:tcW w:w="1991" w:type="dxa"/>
            <w:shd w:val="clear"/>
            <w:vAlign w:val="center"/>
          </w:tcPr>
          <w:p w14:paraId="04C8F656">
            <w:pPr>
              <w:spacing w:line="560" w:lineRule="exact"/>
              <w:jc w:val="center"/>
              <w:rPr>
                <w:rFonts w:hint="default" w:ascii="Times New Roman" w:hAnsi="Times New Roman" w:eastAsia="方正仿宋_GB2312" w:cs="Times New Roman"/>
                <w:kern w:val="0"/>
                <w:sz w:val="24"/>
                <w:szCs w:val="24"/>
                <w:highlight w:val="none"/>
                <w:lang w:val="en-US" w:eastAsia="zh-CN"/>
              </w:rPr>
            </w:pPr>
            <w:r>
              <w:rPr>
                <w:rFonts w:hint="eastAsia" w:ascii="Times New Roman" w:hAnsi="Times New Roman" w:eastAsia="方正仿宋_GB2312" w:cs="Times New Roman"/>
                <w:kern w:val="0"/>
                <w:sz w:val="24"/>
                <w:szCs w:val="24"/>
                <w:highlight w:val="none"/>
              </w:rPr>
              <w:t>标准草案</w:t>
            </w:r>
            <w:r>
              <w:rPr>
                <w:rFonts w:hint="eastAsia" w:ascii="Times New Roman" w:hAnsi="Times New Roman" w:eastAsia="方正仿宋_GB2312" w:cs="Times New Roman"/>
                <w:kern w:val="0"/>
                <w:sz w:val="24"/>
                <w:szCs w:val="24"/>
                <w:highlight w:val="none"/>
                <w:lang w:val="en-US" w:eastAsia="zh-CN"/>
              </w:rPr>
              <w:t>审核</w:t>
            </w:r>
          </w:p>
        </w:tc>
      </w:tr>
    </w:tbl>
    <w:p w14:paraId="63712316">
      <w:pPr>
        <w:pStyle w:val="7"/>
        <w:numPr>
          <w:ilvl w:val="0"/>
          <w:numId w:val="1"/>
        </w:numPr>
        <w:spacing w:line="360" w:lineRule="auto"/>
        <w:ind w:firstLineChars="0"/>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确定标准主要技术内容的论据</w:t>
      </w:r>
    </w:p>
    <w:p w14:paraId="64A68833">
      <w:pPr>
        <w:spacing w:line="360" w:lineRule="auto"/>
        <w:ind w:firstLine="560" w:firstLineChars="200"/>
        <w:rPr>
          <w:rFonts w:hint="eastAsia"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本标准共十</w:t>
      </w:r>
      <w:r>
        <w:rPr>
          <w:rFonts w:hint="default" w:ascii="Times New Roman" w:hAnsi="Times New Roman" w:cs="Times New Roman"/>
          <w:sz w:val="28"/>
          <w:szCs w:val="28"/>
          <w:highlight w:val="none"/>
          <w:lang w:val="en-US" w:eastAsia="zh-CN"/>
        </w:rPr>
        <w:t>三</w:t>
      </w:r>
      <w:r>
        <w:rPr>
          <w:rFonts w:hint="default" w:ascii="Times New Roman" w:hAnsi="Times New Roman" w:cs="Times New Roman"/>
          <w:sz w:val="28"/>
          <w:szCs w:val="28"/>
          <w:highlight w:val="none"/>
        </w:rPr>
        <w:t>章，包括</w:t>
      </w:r>
      <w:r>
        <w:rPr>
          <w:rFonts w:hint="eastAsia" w:ascii="Times New Roman" w:hAnsi="Times New Roman" w:cs="Times New Roman"/>
          <w:sz w:val="28"/>
          <w:szCs w:val="28"/>
          <w:highlight w:val="none"/>
          <w:lang w:val="en-US" w:eastAsia="zh-CN"/>
        </w:rPr>
        <w:t>氢燃料电池电动商用车的运行的基本要求、车辆启动及驾驶操作、车辆的停放与存放、氢燃料加注、日常检查与维护保养、运行中危害与预防、</w:t>
      </w:r>
      <w:r>
        <w:rPr>
          <w:rFonts w:hint="default" w:ascii="Times New Roman" w:hAnsi="Times New Roman" w:cs="Times New Roman"/>
          <w:sz w:val="28"/>
          <w:szCs w:val="28"/>
          <w:highlight w:val="none"/>
        </w:rPr>
        <w:t>应急预案与演练、培训</w:t>
      </w:r>
      <w:r>
        <w:rPr>
          <w:rFonts w:hint="eastAsia"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维修场地要求</w:t>
      </w:r>
      <w:r>
        <w:rPr>
          <w:rFonts w:hint="eastAsia" w:ascii="Times New Roman" w:hAnsi="Times New Roman" w:cs="Times New Roman"/>
          <w:sz w:val="28"/>
          <w:szCs w:val="28"/>
          <w:highlight w:val="none"/>
          <w:lang w:val="en-US" w:eastAsia="zh-CN"/>
        </w:rPr>
        <w:t>、</w:t>
      </w:r>
      <w:r>
        <w:rPr>
          <w:rFonts w:hint="default" w:ascii="Times New Roman" w:hAnsi="Times New Roman" w:cs="Times New Roman"/>
          <w:sz w:val="28"/>
          <w:szCs w:val="28"/>
          <w:highlight w:val="none"/>
          <w:lang w:val="en-US" w:eastAsia="zh-CN"/>
        </w:rPr>
        <w:t>停车场地要求</w:t>
      </w:r>
      <w:r>
        <w:rPr>
          <w:rFonts w:hint="eastAsia" w:ascii="Times New Roman" w:hAnsi="Times New Roman" w:cs="Times New Roman"/>
          <w:sz w:val="28"/>
          <w:szCs w:val="28"/>
          <w:highlight w:val="none"/>
          <w:lang w:val="en-US" w:eastAsia="zh-CN"/>
        </w:rPr>
        <w:t>、</w:t>
      </w:r>
      <w:r>
        <w:rPr>
          <w:rFonts w:hint="default" w:ascii="Times New Roman" w:hAnsi="Times New Roman" w:cs="Times New Roman"/>
          <w:sz w:val="28"/>
          <w:szCs w:val="28"/>
          <w:highlight w:val="none"/>
          <w:lang w:val="en-US" w:eastAsia="zh-CN"/>
        </w:rPr>
        <w:t>车辆报废</w:t>
      </w:r>
      <w:r>
        <w:rPr>
          <w:rFonts w:hint="eastAsia" w:ascii="Times New Roman" w:hAnsi="Times New Roman" w:cs="Times New Roman"/>
          <w:sz w:val="28"/>
          <w:szCs w:val="28"/>
          <w:highlight w:val="none"/>
          <w:lang w:val="en-US" w:eastAsia="zh-CN"/>
        </w:rPr>
        <w:t>。</w:t>
      </w:r>
    </w:p>
    <w:p w14:paraId="4C44160C">
      <w:pPr>
        <w:spacing w:line="360" w:lineRule="auto"/>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1 范围</w:t>
      </w:r>
    </w:p>
    <w:p w14:paraId="52D8C351">
      <w:pPr>
        <w:spacing w:line="360" w:lineRule="auto"/>
        <w:ind w:firstLine="560" w:firstLineChars="200"/>
        <w:rPr>
          <w:rFonts w:hint="default" w:ascii="Times New Roman" w:hAnsi="Times New Roman" w:cs="Times New Roman"/>
          <w:sz w:val="28"/>
          <w:szCs w:val="28"/>
          <w:highlight w:val="none"/>
          <w:lang w:val="en-US" w:eastAsia="zh-CN"/>
        </w:rPr>
      </w:pPr>
      <w:bookmarkStart w:id="0" w:name="_Hlk111019616"/>
      <w:r>
        <w:rPr>
          <w:rFonts w:hint="default" w:ascii="Times New Roman" w:hAnsi="Times New Roman" w:cs="Times New Roman"/>
          <w:sz w:val="28"/>
          <w:szCs w:val="28"/>
          <w:highlight w:val="none"/>
        </w:rPr>
        <w:t>本标准规定了氢燃料电池</w:t>
      </w:r>
      <w:r>
        <w:rPr>
          <w:rFonts w:hint="default" w:ascii="Times New Roman" w:hAnsi="Times New Roman" w:cs="Times New Roman"/>
          <w:sz w:val="28"/>
          <w:szCs w:val="28"/>
          <w:highlight w:val="none"/>
          <w:lang w:val="en-US" w:eastAsia="zh-CN"/>
        </w:rPr>
        <w:t>电动商用车的术语和定义、运行的基本条件、车辆启动及驾驶操作、车辆的停放与存放、氢燃料加注、燃料电池系统与车载储氢系统等的日常检查与维护保养、车辆运行中危害的预防、应急预案与演练及培训、车辆维护保养、维修场地要求、停车场地要求、车辆报废。</w:t>
      </w:r>
    </w:p>
    <w:bookmarkEnd w:id="0"/>
    <w:p w14:paraId="057CBAC1">
      <w:pPr>
        <w:spacing w:line="360" w:lineRule="auto"/>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本文件适用于车载供氢系统的公称工作压力不大于70MPa的氢燃料电池</w:t>
      </w:r>
      <w:r>
        <w:rPr>
          <w:rFonts w:hint="default" w:ascii="Times New Roman" w:hAnsi="Times New Roman" w:cs="Times New Roman"/>
          <w:sz w:val="28"/>
          <w:szCs w:val="28"/>
          <w:highlight w:val="none"/>
          <w:lang w:val="en-US" w:eastAsia="zh-CN"/>
        </w:rPr>
        <w:t>电动</w:t>
      </w:r>
      <w:r>
        <w:rPr>
          <w:rFonts w:hint="default" w:ascii="Times New Roman" w:hAnsi="Times New Roman" w:cs="Times New Roman"/>
          <w:sz w:val="28"/>
          <w:szCs w:val="28"/>
          <w:highlight w:val="none"/>
        </w:rPr>
        <w:t>商用汽车。</w:t>
      </w:r>
    </w:p>
    <w:p w14:paraId="2D6A7FDF">
      <w:pPr>
        <w:spacing w:line="360" w:lineRule="auto"/>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2 规范性引用文件</w:t>
      </w:r>
    </w:p>
    <w:p w14:paraId="55E91EFA">
      <w:pPr>
        <w:spacing w:line="360" w:lineRule="auto"/>
        <w:ind w:firstLine="560" w:firstLineChars="200"/>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rPr>
        <w:t>本文件共给出</w:t>
      </w:r>
      <w:r>
        <w:rPr>
          <w:rFonts w:hint="default" w:ascii="Times New Roman" w:hAnsi="Times New Roman" w:cs="Times New Roman"/>
          <w:sz w:val="28"/>
          <w:szCs w:val="28"/>
          <w:highlight w:val="none"/>
          <w:lang w:val="en-US" w:eastAsia="zh-CN"/>
        </w:rPr>
        <w:t>22</w:t>
      </w:r>
      <w:r>
        <w:rPr>
          <w:rFonts w:hint="default" w:ascii="Times New Roman" w:hAnsi="Times New Roman" w:cs="Times New Roman"/>
          <w:sz w:val="28"/>
          <w:szCs w:val="28"/>
          <w:highlight w:val="none"/>
        </w:rPr>
        <w:t>项规范性引用文件，包括</w:t>
      </w:r>
      <w:r>
        <w:rPr>
          <w:rFonts w:hint="default" w:ascii="Times New Roman" w:hAnsi="Times New Roman" w:cs="Times New Roman"/>
          <w:sz w:val="28"/>
          <w:szCs w:val="28"/>
          <w:highlight w:val="none"/>
          <w:lang w:val="en-US" w:eastAsia="zh-CN"/>
        </w:rPr>
        <w:t>2</w:t>
      </w:r>
      <w:r>
        <w:rPr>
          <w:rFonts w:hint="default" w:ascii="Times New Roman" w:hAnsi="Times New Roman" w:cs="Times New Roman"/>
          <w:sz w:val="28"/>
          <w:szCs w:val="28"/>
          <w:highlight w:val="none"/>
        </w:rPr>
        <w:t>1项国家标准，</w:t>
      </w:r>
      <w:r>
        <w:rPr>
          <w:rFonts w:hint="default" w:ascii="Times New Roman" w:hAnsi="Times New Roman" w:cs="Times New Roman"/>
          <w:sz w:val="28"/>
          <w:szCs w:val="28"/>
          <w:highlight w:val="none"/>
          <w:lang w:val="en-US" w:eastAsia="zh-CN"/>
        </w:rPr>
        <w:t>1</w:t>
      </w:r>
      <w:r>
        <w:rPr>
          <w:rFonts w:hint="default" w:ascii="Times New Roman" w:hAnsi="Times New Roman" w:cs="Times New Roman"/>
          <w:sz w:val="28"/>
          <w:szCs w:val="28"/>
          <w:highlight w:val="none"/>
        </w:rPr>
        <w:t>项</w:t>
      </w:r>
      <w:r>
        <w:rPr>
          <w:rFonts w:hint="default" w:ascii="Times New Roman" w:hAnsi="Times New Roman" w:cs="Times New Roman"/>
          <w:sz w:val="28"/>
          <w:szCs w:val="28"/>
          <w:highlight w:val="none"/>
          <w:lang w:val="en-US" w:eastAsia="zh-CN"/>
        </w:rPr>
        <w:t>行业</w:t>
      </w:r>
      <w:r>
        <w:rPr>
          <w:rFonts w:hint="default" w:ascii="Times New Roman" w:hAnsi="Times New Roman" w:cs="Times New Roman"/>
          <w:sz w:val="28"/>
          <w:szCs w:val="28"/>
          <w:highlight w:val="none"/>
        </w:rPr>
        <w:t>标准，标准涉及</w:t>
      </w:r>
      <w:r>
        <w:rPr>
          <w:rFonts w:hint="default" w:ascii="Times New Roman" w:hAnsi="Times New Roman" w:cs="Times New Roman"/>
          <w:sz w:val="28"/>
          <w:szCs w:val="28"/>
          <w:highlight w:val="none"/>
          <w:lang w:val="en-US" w:eastAsia="zh-CN"/>
        </w:rPr>
        <w:t>燃料电池电动车、机动车、电动汽车运行规范以及配套设施等内容。</w:t>
      </w:r>
    </w:p>
    <w:p w14:paraId="251100E7">
      <w:pPr>
        <w:spacing w:line="360" w:lineRule="auto"/>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3 术语和定义</w:t>
      </w:r>
    </w:p>
    <w:p w14:paraId="2707A3ED">
      <w:pPr>
        <w:pStyle w:val="11"/>
        <w:ind w:firstLine="42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本文件给出“</w:t>
      </w:r>
      <w:r>
        <w:rPr>
          <w:rFonts w:hint="default" w:ascii="Times New Roman" w:hAnsi="Times New Roman" w:cs="Times New Roman"/>
          <w:sz w:val="28"/>
          <w:szCs w:val="28"/>
          <w:highlight w:val="none"/>
          <w:lang w:val="en-US" w:eastAsia="zh-CN"/>
        </w:rPr>
        <w:t>燃料电池电动商用车</w:t>
      </w:r>
      <w:r>
        <w:rPr>
          <w:rFonts w:hint="default" w:ascii="Times New Roman" w:hAnsi="Times New Roman" w:cs="Times New Roman"/>
          <w:sz w:val="28"/>
          <w:szCs w:val="28"/>
          <w:highlight w:val="none"/>
        </w:rPr>
        <w:t>”和“</w:t>
      </w:r>
      <w:r>
        <w:rPr>
          <w:rFonts w:hint="default" w:ascii="Times New Roman" w:hAnsi="Times New Roman" w:cs="Times New Roman"/>
          <w:sz w:val="28"/>
          <w:szCs w:val="28"/>
          <w:highlight w:val="none"/>
          <w:lang w:val="en-US" w:eastAsia="zh-CN"/>
        </w:rPr>
        <w:t>车载供氢系统</w:t>
      </w:r>
      <w:r>
        <w:rPr>
          <w:rFonts w:hint="default" w:ascii="Times New Roman" w:hAnsi="Times New Roman" w:cs="Times New Roman"/>
          <w:sz w:val="28"/>
          <w:szCs w:val="28"/>
          <w:highlight w:val="none"/>
        </w:rPr>
        <w:t>”两个术语。“</w:t>
      </w:r>
      <w:r>
        <w:rPr>
          <w:rFonts w:hint="default" w:ascii="Times New Roman" w:hAnsi="Times New Roman" w:cs="Times New Roman"/>
          <w:sz w:val="28"/>
          <w:szCs w:val="28"/>
          <w:highlight w:val="none"/>
          <w:lang w:val="en-US" w:eastAsia="zh-CN"/>
        </w:rPr>
        <w:t>燃料电池电动商用车</w:t>
      </w:r>
      <w:r>
        <w:rPr>
          <w:rFonts w:hint="default" w:ascii="Times New Roman" w:hAnsi="Times New Roman" w:cs="Times New Roman"/>
          <w:sz w:val="28"/>
          <w:szCs w:val="28"/>
          <w:highlight w:val="none"/>
        </w:rPr>
        <w:t>”是指</w:t>
      </w:r>
      <w:r>
        <w:rPr>
          <w:rFonts w:hint="default" w:ascii="Times New Roman" w:hAnsi="Times New Roman" w:cs="Times New Roman"/>
          <w:sz w:val="28"/>
          <w:szCs w:val="28"/>
          <w:highlight w:val="none"/>
          <w:lang w:val="en-US" w:eastAsia="zh-CN"/>
        </w:rPr>
        <w:t>以燃料电池系统作为动力源或主动力源的商用汽车</w:t>
      </w:r>
      <w:r>
        <w:rPr>
          <w:rFonts w:hint="default" w:ascii="Times New Roman" w:hAnsi="Times New Roman" w:cs="Times New Roman"/>
          <w:sz w:val="28"/>
          <w:szCs w:val="28"/>
          <w:highlight w:val="none"/>
        </w:rPr>
        <w:t>。“</w:t>
      </w:r>
      <w:r>
        <w:rPr>
          <w:rFonts w:hint="default" w:ascii="Times New Roman" w:hAnsi="Times New Roman" w:cs="Times New Roman"/>
          <w:sz w:val="28"/>
          <w:szCs w:val="28"/>
          <w:highlight w:val="none"/>
          <w:lang w:val="en-US" w:eastAsia="zh-CN"/>
        </w:rPr>
        <w:t>车载供氢系统</w:t>
      </w:r>
      <w:r>
        <w:rPr>
          <w:rFonts w:hint="default" w:ascii="Times New Roman" w:hAnsi="Times New Roman" w:cs="Times New Roman"/>
          <w:sz w:val="28"/>
          <w:szCs w:val="28"/>
          <w:highlight w:val="none"/>
        </w:rPr>
        <w:t>”是指</w:t>
      </w:r>
      <w:r>
        <w:rPr>
          <w:rFonts w:hint="default" w:ascii="Times New Roman" w:hAnsi="Times New Roman" w:cs="Times New Roman"/>
          <w:sz w:val="28"/>
          <w:szCs w:val="28"/>
          <w:highlight w:val="none"/>
          <w:lang w:val="en-US" w:eastAsia="zh-CN"/>
        </w:rPr>
        <w:t>安装在氢燃料电池电动商用车上，从氢气加注口至燃料电池堆进气口，与氢气的加注、储存、输送、供给和控制有关的装置。</w:t>
      </w:r>
    </w:p>
    <w:p w14:paraId="5F7E5D48">
      <w:pPr>
        <w:spacing w:line="360" w:lineRule="auto"/>
        <w:rPr>
          <w:rFonts w:hint="default"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 xml:space="preserve">4 </w:t>
      </w:r>
      <w:r>
        <w:rPr>
          <w:rFonts w:hint="default" w:ascii="Times New Roman" w:hAnsi="Times New Roman" w:cs="Times New Roman"/>
          <w:sz w:val="28"/>
          <w:szCs w:val="28"/>
          <w:highlight w:val="none"/>
          <w:lang w:val="en-US" w:eastAsia="zh-CN"/>
        </w:rPr>
        <w:t>运行的基本要求</w:t>
      </w:r>
    </w:p>
    <w:p w14:paraId="20DF05B0">
      <w:pPr>
        <w:pStyle w:val="11"/>
        <w:ind w:firstLine="420"/>
        <w:rPr>
          <w:rFonts w:hint="default"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本章给出</w:t>
      </w:r>
      <w:r>
        <w:rPr>
          <w:rFonts w:hint="default" w:ascii="Times New Roman" w:hAnsi="Times New Roman" w:cs="Times New Roman"/>
          <w:sz w:val="28"/>
          <w:szCs w:val="28"/>
          <w:highlight w:val="none"/>
          <w:lang w:val="en-US" w:eastAsia="zh-CN"/>
        </w:rPr>
        <w:t>车辆要求、配套要求、管理体系和运行人员要求。其中氢燃料电池电动商用车符合</w:t>
      </w:r>
      <w:r>
        <w:rPr>
          <w:rFonts w:hint="default" w:ascii="Times New Roman" w:hAnsi="Times New Roman" w:cs="Times New Roman"/>
          <w:sz w:val="28"/>
          <w:szCs w:val="28"/>
          <w:highlight w:val="none"/>
        </w:rPr>
        <w:t>GB 13094</w:t>
      </w:r>
      <w:r>
        <w:rPr>
          <w:rFonts w:hint="default" w:ascii="Times New Roman" w:hAnsi="Times New Roman" w:cs="Times New Roman"/>
          <w:sz w:val="28"/>
          <w:szCs w:val="28"/>
          <w:highlight w:val="none"/>
          <w:lang w:val="en-US" w:eastAsia="zh-CN"/>
        </w:rPr>
        <w:t>、</w:t>
      </w:r>
      <w:r>
        <w:rPr>
          <w:rFonts w:hint="default" w:ascii="Times New Roman" w:hAnsi="Times New Roman" w:cs="Times New Roman"/>
          <w:sz w:val="28"/>
          <w:szCs w:val="28"/>
          <w:highlight w:val="none"/>
        </w:rPr>
        <w:t>GB 7258</w:t>
      </w:r>
      <w:r>
        <w:rPr>
          <w:rFonts w:hint="default" w:ascii="Times New Roman" w:hAnsi="Times New Roman" w:cs="Times New Roman"/>
          <w:sz w:val="28"/>
          <w:szCs w:val="28"/>
          <w:highlight w:val="none"/>
          <w:lang w:val="en-US" w:eastAsia="zh-CN"/>
        </w:rPr>
        <w:t>等国家机动车强制性标准要求；运行区域的配套设施应符合GB/T 29124要求；运行单位应制定完善的氢燃料电池电动商用车运行组织管理体系和安全生产责任制；运行人员应接受氢燃料电池电动商用车相关专业技术、 安全、实操培训等。</w:t>
      </w:r>
    </w:p>
    <w:p w14:paraId="238BF44D">
      <w:pPr>
        <w:spacing w:line="360" w:lineRule="auto"/>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rPr>
        <w:t xml:space="preserve">5 </w:t>
      </w:r>
      <w:r>
        <w:rPr>
          <w:rFonts w:hint="default" w:ascii="Times New Roman" w:hAnsi="Times New Roman" w:cs="Times New Roman"/>
          <w:sz w:val="28"/>
          <w:szCs w:val="28"/>
          <w:highlight w:val="none"/>
          <w:lang w:val="en-US" w:eastAsia="zh-CN"/>
        </w:rPr>
        <w:t>车辆启动及驾驶操作</w:t>
      </w:r>
    </w:p>
    <w:p w14:paraId="79CEF5D2">
      <w:pPr>
        <w:spacing w:line="360" w:lineRule="auto"/>
        <w:ind w:firstLine="560" w:firstLineChars="200"/>
        <w:rPr>
          <w:rFonts w:hint="eastAsia"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lang w:val="en-US" w:eastAsia="zh-CN"/>
        </w:rPr>
        <w:t>本章从车辆启动、驾驶操作以及车辆停机三方面进行阐述。</w:t>
      </w:r>
      <w:r>
        <w:rPr>
          <w:rFonts w:hint="eastAsia" w:ascii="Times New Roman" w:hAnsi="Times New Roman" w:cs="Times New Roman"/>
          <w:sz w:val="28"/>
          <w:szCs w:val="28"/>
          <w:highlight w:val="none"/>
          <w:lang w:val="en-US" w:eastAsia="zh-CN"/>
        </w:rPr>
        <w:t>对车辆启动、驾驶过程以及停机操作做出相关要求。</w:t>
      </w:r>
    </w:p>
    <w:p w14:paraId="1ECA4BDD">
      <w:pPr>
        <w:spacing w:line="360" w:lineRule="auto"/>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lang w:val="en-US" w:eastAsia="zh-CN"/>
        </w:rPr>
        <w:t>6</w:t>
      </w:r>
      <w:r>
        <w:rPr>
          <w:rFonts w:hint="default" w:ascii="Times New Roman" w:hAnsi="Times New Roman" w:cs="Times New Roman"/>
          <w:sz w:val="28"/>
          <w:szCs w:val="28"/>
          <w:highlight w:val="none"/>
        </w:rPr>
        <w:t xml:space="preserve"> </w:t>
      </w:r>
      <w:r>
        <w:rPr>
          <w:rFonts w:hint="default" w:ascii="Times New Roman" w:hAnsi="Times New Roman" w:cs="Times New Roman"/>
          <w:sz w:val="28"/>
          <w:szCs w:val="28"/>
          <w:highlight w:val="none"/>
          <w:lang w:val="en-US" w:eastAsia="zh-CN"/>
        </w:rPr>
        <w:t>车辆的停放与存放</w:t>
      </w:r>
    </w:p>
    <w:p w14:paraId="238840CF">
      <w:pPr>
        <w:spacing w:line="360" w:lineRule="auto"/>
        <w:ind w:firstLine="560" w:firstLineChars="200"/>
        <w:rPr>
          <w:rFonts w:hint="eastAsia" w:ascii="Times New Roman" w:hAnsi="Times New Roman" w:cs="Times New Roman"/>
          <w:sz w:val="28"/>
          <w:szCs w:val="28"/>
          <w:highlight w:val="none"/>
          <w:lang w:val="en-US" w:eastAsia="zh-CN"/>
        </w:rPr>
      </w:pPr>
      <w:r>
        <w:rPr>
          <w:rFonts w:hint="eastAsia" w:ascii="Times New Roman" w:hAnsi="Times New Roman" w:cs="Times New Roman"/>
          <w:sz w:val="28"/>
          <w:szCs w:val="28"/>
          <w:highlight w:val="none"/>
          <w:lang w:val="en-US" w:eastAsia="zh-CN"/>
        </w:rPr>
        <w:t>本章对氢燃料电池电动商用车的停放与存放方面做出要求，其中对车辆存放过程中的措施以及再次使用时要求做出说明。</w:t>
      </w:r>
    </w:p>
    <w:p w14:paraId="5EB7ABE4">
      <w:pPr>
        <w:spacing w:line="360" w:lineRule="auto"/>
        <w:rPr>
          <w:rFonts w:hint="default" w:ascii="Times New Roman" w:hAnsi="Times New Roman" w:cs="Times New Roman" w:eastAsiaTheme="minorEastAsia"/>
          <w:sz w:val="28"/>
          <w:szCs w:val="28"/>
          <w:highlight w:val="none"/>
          <w:lang w:val="en-US" w:eastAsia="zh-CN"/>
        </w:rPr>
      </w:pPr>
      <w:r>
        <w:rPr>
          <w:rFonts w:hint="eastAsia" w:ascii="Times New Roman" w:hAnsi="Times New Roman" w:cs="Times New Roman"/>
          <w:sz w:val="28"/>
          <w:szCs w:val="28"/>
          <w:highlight w:val="none"/>
          <w:lang w:val="en-US" w:eastAsia="zh-CN"/>
        </w:rPr>
        <w:t>7</w:t>
      </w:r>
      <w:r>
        <w:rPr>
          <w:rFonts w:hint="default" w:ascii="Times New Roman" w:hAnsi="Times New Roman" w:cs="Times New Roman"/>
          <w:sz w:val="28"/>
          <w:szCs w:val="28"/>
          <w:highlight w:val="none"/>
        </w:rPr>
        <w:t xml:space="preserve"> </w:t>
      </w:r>
      <w:r>
        <w:rPr>
          <w:rFonts w:hint="eastAsia" w:ascii="Times New Roman" w:hAnsi="Times New Roman" w:cs="Times New Roman"/>
          <w:sz w:val="28"/>
          <w:szCs w:val="28"/>
          <w:highlight w:val="none"/>
          <w:lang w:val="en-US" w:eastAsia="zh-CN"/>
        </w:rPr>
        <w:t>氢燃料加注</w:t>
      </w:r>
    </w:p>
    <w:p w14:paraId="3CF568E4">
      <w:pPr>
        <w:spacing w:line="360" w:lineRule="auto"/>
        <w:ind w:firstLine="560" w:firstLineChars="200"/>
        <w:rPr>
          <w:rFonts w:hint="default" w:ascii="Times New Roman" w:hAnsi="Times New Roman" w:cs="Times New Roman"/>
          <w:sz w:val="28"/>
          <w:szCs w:val="28"/>
          <w:highlight w:val="none"/>
          <w:lang w:val="en-US" w:eastAsia="zh-CN"/>
        </w:rPr>
      </w:pPr>
      <w:r>
        <w:rPr>
          <w:rFonts w:hint="eastAsia" w:ascii="Times New Roman" w:hAnsi="Times New Roman" w:cs="Times New Roman"/>
          <w:sz w:val="28"/>
          <w:szCs w:val="28"/>
          <w:highlight w:val="none"/>
          <w:lang w:val="en-US" w:eastAsia="zh-CN"/>
        </w:rPr>
        <w:t>本章对氢燃料电池电动商用车的加注从加注时间、加注注意事项、加注要求以及加注后的安全等方面进行要求。</w:t>
      </w:r>
    </w:p>
    <w:p w14:paraId="228E4CC4">
      <w:pPr>
        <w:spacing w:line="360" w:lineRule="auto"/>
        <w:rPr>
          <w:rFonts w:hint="default" w:ascii="Times New Roman" w:hAnsi="Times New Roman" w:cs="Times New Roman" w:eastAsiaTheme="minorEastAsia"/>
          <w:sz w:val="28"/>
          <w:szCs w:val="28"/>
          <w:highlight w:val="none"/>
          <w:lang w:val="en-US" w:eastAsia="zh-CN"/>
        </w:rPr>
      </w:pPr>
      <w:r>
        <w:rPr>
          <w:rFonts w:hint="eastAsia" w:ascii="Times New Roman" w:hAnsi="Times New Roman" w:cs="Times New Roman"/>
          <w:sz w:val="28"/>
          <w:szCs w:val="28"/>
          <w:highlight w:val="none"/>
          <w:lang w:val="en-US" w:eastAsia="zh-CN"/>
        </w:rPr>
        <w:t>8</w:t>
      </w:r>
      <w:r>
        <w:rPr>
          <w:rFonts w:hint="default" w:ascii="Times New Roman" w:hAnsi="Times New Roman" w:cs="Times New Roman"/>
          <w:sz w:val="28"/>
          <w:szCs w:val="28"/>
          <w:highlight w:val="none"/>
        </w:rPr>
        <w:t xml:space="preserve"> </w:t>
      </w:r>
      <w:r>
        <w:rPr>
          <w:rFonts w:hint="eastAsia" w:ascii="Times New Roman" w:hAnsi="Times New Roman" w:cs="Times New Roman"/>
          <w:sz w:val="28"/>
          <w:szCs w:val="28"/>
          <w:highlight w:val="none"/>
          <w:lang w:val="en-US" w:eastAsia="zh-CN"/>
        </w:rPr>
        <w:t>日常检查与维护保养</w:t>
      </w:r>
    </w:p>
    <w:p w14:paraId="25697A26">
      <w:pPr>
        <w:spacing w:line="360" w:lineRule="auto"/>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本章</w:t>
      </w:r>
      <w:r>
        <w:rPr>
          <w:rFonts w:hint="eastAsia" w:ascii="Times New Roman" w:hAnsi="Times New Roman" w:cs="Times New Roman"/>
          <w:sz w:val="28"/>
          <w:szCs w:val="28"/>
          <w:highlight w:val="none"/>
          <w:lang w:val="en-US" w:eastAsia="zh-CN"/>
        </w:rPr>
        <w:t>对从氢燃料电池电动商用车的日常检查、维护保养方面进行详细说明。其中分别对燃料电池系统、车载供氢系统的日常检查项目与维护保养进行详细要求，对整车方面的日常检查项目</w:t>
      </w:r>
      <w:r>
        <w:rPr>
          <w:rFonts w:hint="default" w:ascii="Times New Roman" w:hAnsi="Times New Roman" w:cs="Times New Roman"/>
          <w:sz w:val="28"/>
          <w:szCs w:val="28"/>
          <w:highlight w:val="none"/>
          <w:lang w:val="en-US" w:eastAsia="zh-CN"/>
        </w:rPr>
        <w:t>参照GB/T 18344、JT/T 1344</w:t>
      </w:r>
      <w:r>
        <w:rPr>
          <w:rFonts w:hint="eastAsia" w:ascii="Times New Roman" w:hAnsi="Times New Roman" w:cs="Times New Roman"/>
          <w:sz w:val="28"/>
          <w:szCs w:val="28"/>
          <w:highlight w:val="none"/>
          <w:lang w:val="en-US" w:eastAsia="zh-CN"/>
        </w:rPr>
        <w:t>标准。</w:t>
      </w:r>
    </w:p>
    <w:p w14:paraId="5A25190E">
      <w:pPr>
        <w:spacing w:line="360" w:lineRule="auto"/>
        <w:rPr>
          <w:rFonts w:hint="default" w:ascii="Times New Roman" w:hAnsi="Times New Roman" w:cs="Times New Roman" w:eastAsiaTheme="minorEastAsia"/>
          <w:sz w:val="28"/>
          <w:szCs w:val="28"/>
          <w:highlight w:val="none"/>
          <w:lang w:val="en-US" w:eastAsia="zh-CN"/>
        </w:rPr>
      </w:pPr>
      <w:r>
        <w:rPr>
          <w:rFonts w:hint="eastAsia" w:ascii="Times New Roman" w:hAnsi="Times New Roman" w:cs="Times New Roman"/>
          <w:sz w:val="28"/>
          <w:szCs w:val="28"/>
          <w:highlight w:val="none"/>
          <w:lang w:val="en-US" w:eastAsia="zh-CN"/>
        </w:rPr>
        <w:t>9</w:t>
      </w:r>
      <w:r>
        <w:rPr>
          <w:rFonts w:hint="default" w:ascii="Times New Roman" w:hAnsi="Times New Roman" w:cs="Times New Roman"/>
          <w:sz w:val="28"/>
          <w:szCs w:val="28"/>
          <w:highlight w:val="none"/>
        </w:rPr>
        <w:t xml:space="preserve"> </w:t>
      </w:r>
      <w:r>
        <w:rPr>
          <w:rFonts w:hint="eastAsia" w:ascii="Times New Roman" w:hAnsi="Times New Roman" w:cs="Times New Roman"/>
          <w:sz w:val="28"/>
          <w:szCs w:val="28"/>
          <w:highlight w:val="none"/>
          <w:lang w:val="en-US" w:eastAsia="zh-CN"/>
        </w:rPr>
        <w:t>运行中危害的预防</w:t>
      </w:r>
    </w:p>
    <w:p w14:paraId="5CEA6DC8">
      <w:pPr>
        <w:spacing w:line="360" w:lineRule="auto"/>
        <w:ind w:firstLine="560" w:firstLineChars="200"/>
        <w:rPr>
          <w:rFonts w:hint="default"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本章给出</w:t>
      </w:r>
      <w:r>
        <w:rPr>
          <w:rFonts w:hint="eastAsia" w:ascii="Times New Roman" w:hAnsi="Times New Roman" w:cs="Times New Roman"/>
          <w:sz w:val="28"/>
          <w:szCs w:val="28"/>
          <w:highlight w:val="none"/>
          <w:lang w:val="en-US" w:eastAsia="zh-CN"/>
        </w:rPr>
        <w:t>氢燃料电池电动商用车运行中为危害主要包括氢危害预防、触电危害预防、高温和化学危害预防。主要内容包括三种危害的预防措施以及保护措施。</w:t>
      </w:r>
    </w:p>
    <w:p w14:paraId="1643F4BF">
      <w:pPr>
        <w:spacing w:line="360" w:lineRule="auto"/>
        <w:rPr>
          <w:rFonts w:hint="default" w:ascii="Times New Roman" w:hAnsi="Times New Roman" w:cs="Times New Roman" w:eastAsiaTheme="minorEastAsia"/>
          <w:sz w:val="28"/>
          <w:szCs w:val="28"/>
          <w:highlight w:val="none"/>
          <w:lang w:val="en-US" w:eastAsia="zh-CN"/>
        </w:rPr>
      </w:pPr>
      <w:r>
        <w:rPr>
          <w:rFonts w:hint="eastAsia" w:ascii="Times New Roman" w:hAnsi="Times New Roman" w:cs="Times New Roman"/>
          <w:sz w:val="28"/>
          <w:szCs w:val="28"/>
          <w:highlight w:val="none"/>
          <w:lang w:val="en-US" w:eastAsia="zh-CN"/>
        </w:rPr>
        <w:t>10</w:t>
      </w:r>
      <w:r>
        <w:rPr>
          <w:rFonts w:hint="default" w:ascii="Times New Roman" w:hAnsi="Times New Roman" w:cs="Times New Roman"/>
          <w:sz w:val="28"/>
          <w:szCs w:val="28"/>
          <w:highlight w:val="none"/>
        </w:rPr>
        <w:t xml:space="preserve"> </w:t>
      </w:r>
      <w:r>
        <w:rPr>
          <w:rFonts w:hint="eastAsia" w:ascii="Times New Roman" w:hAnsi="Times New Roman" w:cs="Times New Roman"/>
          <w:sz w:val="28"/>
          <w:szCs w:val="28"/>
          <w:highlight w:val="none"/>
          <w:lang w:val="en-US" w:eastAsia="zh-CN"/>
        </w:rPr>
        <w:t>应急预案与演练、培训</w:t>
      </w:r>
    </w:p>
    <w:p w14:paraId="5400AE4C">
      <w:pPr>
        <w:spacing w:line="360" w:lineRule="auto"/>
        <w:ind w:firstLine="560" w:firstLineChars="200"/>
        <w:rPr>
          <w:rFonts w:hint="default"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本章给出</w:t>
      </w:r>
      <w:r>
        <w:rPr>
          <w:rFonts w:hint="eastAsia" w:ascii="Times New Roman" w:hAnsi="Times New Roman" w:cs="Times New Roman"/>
          <w:sz w:val="28"/>
          <w:szCs w:val="28"/>
          <w:highlight w:val="none"/>
          <w:lang w:val="en-US" w:eastAsia="zh-CN"/>
        </w:rPr>
        <w:t>氢燃料电池电动商用车的应急预案及演练、培训以及事故处置方面进行要求。描述应制定的应急预案与演练，并需进行的培训以及事故处置的要求。</w:t>
      </w:r>
    </w:p>
    <w:p w14:paraId="02F05436">
      <w:pPr>
        <w:spacing w:line="360" w:lineRule="auto"/>
        <w:rPr>
          <w:rFonts w:hint="default" w:ascii="Times New Roman" w:hAnsi="Times New Roman" w:cs="Times New Roman" w:eastAsiaTheme="minorEastAsia"/>
          <w:sz w:val="28"/>
          <w:szCs w:val="28"/>
          <w:highlight w:val="none"/>
          <w:lang w:val="en-US" w:eastAsia="zh-CN"/>
        </w:rPr>
      </w:pPr>
      <w:r>
        <w:rPr>
          <w:rFonts w:hint="eastAsia" w:ascii="Times New Roman" w:hAnsi="Times New Roman" w:cs="Times New Roman"/>
          <w:sz w:val="28"/>
          <w:szCs w:val="28"/>
          <w:highlight w:val="none"/>
          <w:lang w:val="en-US" w:eastAsia="zh-CN"/>
        </w:rPr>
        <w:t>11</w:t>
      </w:r>
      <w:r>
        <w:rPr>
          <w:rFonts w:hint="default" w:ascii="Times New Roman" w:hAnsi="Times New Roman" w:cs="Times New Roman"/>
          <w:sz w:val="28"/>
          <w:szCs w:val="28"/>
          <w:highlight w:val="none"/>
        </w:rPr>
        <w:t xml:space="preserve"> </w:t>
      </w:r>
      <w:r>
        <w:rPr>
          <w:rFonts w:hint="eastAsia" w:ascii="Times New Roman" w:hAnsi="Times New Roman" w:cs="Times New Roman"/>
          <w:sz w:val="28"/>
          <w:szCs w:val="28"/>
          <w:highlight w:val="none"/>
          <w:lang w:val="en-US" w:eastAsia="zh-CN"/>
        </w:rPr>
        <w:t>维修场地要求</w:t>
      </w:r>
    </w:p>
    <w:p w14:paraId="41E0EEEA">
      <w:pPr>
        <w:spacing w:line="360" w:lineRule="auto"/>
        <w:ind w:firstLine="560" w:firstLineChars="200"/>
        <w:rPr>
          <w:rFonts w:hint="default"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本章</w:t>
      </w:r>
      <w:r>
        <w:rPr>
          <w:rFonts w:hint="eastAsia" w:ascii="Times New Roman" w:hAnsi="Times New Roman" w:cs="Times New Roman"/>
          <w:sz w:val="28"/>
          <w:szCs w:val="28"/>
          <w:highlight w:val="none"/>
          <w:lang w:val="en-US" w:eastAsia="zh-CN"/>
        </w:rPr>
        <w:t>从安全基本要求、设备条件、组织管理三方面对氢燃料电池电动商用车的维修场地进行要求。安全基本要求主要包括安安全标示、噪音、防护等方面；设备条件主要包括维修设备以及燃料电池系统的维修设备；组织管理对管理体系等方面进行要求。</w:t>
      </w:r>
    </w:p>
    <w:p w14:paraId="29598078">
      <w:pPr>
        <w:spacing w:line="360" w:lineRule="auto"/>
        <w:rPr>
          <w:rFonts w:hint="eastAsia" w:ascii="Times New Roman" w:hAnsi="Times New Roman" w:cs="Times New Roman"/>
          <w:sz w:val="28"/>
          <w:szCs w:val="28"/>
          <w:highlight w:val="none"/>
          <w:lang w:val="en-US" w:eastAsia="zh-CN"/>
        </w:rPr>
      </w:pPr>
      <w:r>
        <w:rPr>
          <w:rFonts w:hint="eastAsia" w:ascii="Times New Roman" w:hAnsi="Times New Roman" w:cs="Times New Roman"/>
          <w:sz w:val="28"/>
          <w:szCs w:val="28"/>
          <w:highlight w:val="none"/>
          <w:lang w:val="en-US" w:eastAsia="zh-CN"/>
        </w:rPr>
        <w:t>12</w:t>
      </w:r>
      <w:r>
        <w:rPr>
          <w:rFonts w:hint="default" w:ascii="Times New Roman" w:hAnsi="Times New Roman" w:cs="Times New Roman"/>
          <w:sz w:val="28"/>
          <w:szCs w:val="28"/>
          <w:highlight w:val="none"/>
        </w:rPr>
        <w:t xml:space="preserve"> </w:t>
      </w:r>
      <w:r>
        <w:rPr>
          <w:rFonts w:hint="eastAsia" w:ascii="Times New Roman" w:hAnsi="Times New Roman" w:cs="Times New Roman"/>
          <w:sz w:val="28"/>
          <w:szCs w:val="28"/>
          <w:highlight w:val="none"/>
          <w:lang w:val="en-US" w:eastAsia="zh-CN"/>
        </w:rPr>
        <w:t>停车场地要求</w:t>
      </w:r>
    </w:p>
    <w:p w14:paraId="57A41D05">
      <w:pPr>
        <w:spacing w:line="360" w:lineRule="auto"/>
        <w:ind w:firstLine="560" w:firstLineChars="200"/>
        <w:rPr>
          <w:rFonts w:hint="default"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本章对</w:t>
      </w:r>
      <w:r>
        <w:rPr>
          <w:rFonts w:hint="eastAsia" w:ascii="Times New Roman" w:hAnsi="Times New Roman" w:cs="Times New Roman"/>
          <w:sz w:val="28"/>
          <w:szCs w:val="28"/>
          <w:highlight w:val="none"/>
          <w:lang w:val="en-US" w:eastAsia="zh-CN"/>
        </w:rPr>
        <w:t>氢燃料电池电动商用车停放的场地进行要求</w:t>
      </w:r>
      <w:r>
        <w:rPr>
          <w:rFonts w:hint="default" w:ascii="Times New Roman" w:hAnsi="Times New Roman" w:cs="Times New Roman"/>
          <w:sz w:val="28"/>
          <w:szCs w:val="28"/>
          <w:highlight w:val="none"/>
        </w:rPr>
        <w:t>。</w:t>
      </w:r>
    </w:p>
    <w:p w14:paraId="571CDD5B">
      <w:pPr>
        <w:spacing w:line="360" w:lineRule="auto"/>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rPr>
        <w:t>1</w:t>
      </w:r>
      <w:r>
        <w:rPr>
          <w:rFonts w:hint="eastAsia" w:ascii="Times New Roman" w:hAnsi="Times New Roman" w:cs="Times New Roman"/>
          <w:sz w:val="28"/>
          <w:szCs w:val="28"/>
          <w:highlight w:val="none"/>
          <w:lang w:val="en-US" w:eastAsia="zh-CN"/>
        </w:rPr>
        <w:t>3</w:t>
      </w:r>
      <w:r>
        <w:rPr>
          <w:rFonts w:hint="default" w:ascii="Times New Roman" w:hAnsi="Times New Roman" w:cs="Times New Roman"/>
          <w:sz w:val="28"/>
          <w:szCs w:val="28"/>
          <w:highlight w:val="none"/>
        </w:rPr>
        <w:t xml:space="preserve"> </w:t>
      </w:r>
      <w:r>
        <w:rPr>
          <w:rFonts w:hint="eastAsia" w:ascii="Times New Roman" w:hAnsi="Times New Roman" w:cs="Times New Roman"/>
          <w:sz w:val="28"/>
          <w:szCs w:val="28"/>
          <w:highlight w:val="none"/>
          <w:lang w:val="en-US" w:eastAsia="zh-CN"/>
        </w:rPr>
        <w:t>车辆报废</w:t>
      </w:r>
    </w:p>
    <w:p w14:paraId="4E7CD507">
      <w:pPr>
        <w:spacing w:line="360" w:lineRule="auto"/>
        <w:ind w:firstLine="560" w:firstLineChars="200"/>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rPr>
        <w:t>本章对</w:t>
      </w:r>
      <w:r>
        <w:rPr>
          <w:rFonts w:hint="eastAsia" w:ascii="Times New Roman" w:hAnsi="Times New Roman" w:cs="Times New Roman"/>
          <w:sz w:val="28"/>
          <w:szCs w:val="28"/>
          <w:highlight w:val="none"/>
          <w:lang w:val="en-US" w:eastAsia="zh-CN"/>
        </w:rPr>
        <w:t>氢燃料电池电动商用车报废进行要求</w:t>
      </w:r>
      <w:r>
        <w:rPr>
          <w:rFonts w:hint="default" w:ascii="Times New Roman" w:hAnsi="Times New Roman" w:cs="Times New Roman"/>
          <w:sz w:val="28"/>
          <w:szCs w:val="28"/>
          <w:highlight w:val="none"/>
        </w:rPr>
        <w:t>。</w:t>
      </w:r>
      <w:r>
        <w:rPr>
          <w:rFonts w:hint="eastAsia" w:ascii="Times New Roman" w:hAnsi="Times New Roman" w:cs="Times New Roman"/>
          <w:sz w:val="28"/>
          <w:szCs w:val="28"/>
          <w:highlight w:val="none"/>
          <w:lang w:val="en-US" w:eastAsia="zh-CN"/>
        </w:rPr>
        <w:t>其中包括车辆报废前的处置、燃料电池系统报废的处置要求。</w:t>
      </w:r>
    </w:p>
    <w:p w14:paraId="7F142CDE">
      <w:pPr>
        <w:spacing w:line="360" w:lineRule="auto"/>
        <w:rPr>
          <w:rFonts w:hint="default" w:ascii="Times New Roman" w:hAnsi="Times New Roman" w:cs="Times New Roman"/>
          <w:sz w:val="28"/>
          <w:szCs w:val="28"/>
          <w:highlight w:val="yellow"/>
        </w:rPr>
      </w:pPr>
    </w:p>
    <w:p w14:paraId="230BC92B">
      <w:pPr>
        <w:pStyle w:val="7"/>
        <w:spacing w:line="360" w:lineRule="auto"/>
        <w:ind w:left="420" w:firstLine="0" w:firstLineChars="0"/>
        <w:rPr>
          <w:rFonts w:hint="default" w:ascii="Times New Roman" w:hAnsi="Times New Roman" w:cs="Times New Roman"/>
          <w:sz w:val="28"/>
          <w:szCs w:val="28"/>
          <w:highlight w:val="yellow"/>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仿宋_GB2312">
    <w:altName w:val="仿宋"/>
    <w:panose1 w:val="00000000000000000000"/>
    <w:charset w:val="86"/>
    <w:family w:val="auto"/>
    <w:pitch w:val="default"/>
    <w:sig w:usb0="00000000" w:usb1="00000000" w:usb2="00000012"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5520910"/>
      <w:docPartObj>
        <w:docPartGallery w:val="autotext"/>
      </w:docPartObj>
    </w:sdtPr>
    <w:sdtContent>
      <w:p w14:paraId="6B775B17">
        <w:pPr>
          <w:pStyle w:val="2"/>
          <w:jc w:val="center"/>
        </w:pPr>
        <w:r>
          <w:fldChar w:fldCharType="begin"/>
        </w:r>
        <w:r>
          <w:instrText xml:space="preserve">PAGE   \* MERGEFORMAT</w:instrText>
        </w:r>
        <w:r>
          <w:fldChar w:fldCharType="separate"/>
        </w:r>
        <w:r>
          <w:rPr>
            <w:lang w:val="zh-CN"/>
          </w:rPr>
          <w:t>6</w:t>
        </w:r>
        <w:r>
          <w:fldChar w:fldCharType="end"/>
        </w:r>
      </w:p>
    </w:sdtContent>
  </w:sdt>
  <w:p w14:paraId="639E05AC">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63A3E"/>
    <w:multiLevelType w:val="multilevel"/>
    <w:tmpl w:val="59D63A3E"/>
    <w:lvl w:ilvl="0" w:tentative="0">
      <w:start w:val="1"/>
      <w:numFmt w:val="japaneseCounting"/>
      <w:lvlText w:val="（%1）"/>
      <w:lvlJc w:val="left"/>
      <w:pPr>
        <w:ind w:left="855" w:hanging="85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A894BA2"/>
    <w:multiLevelType w:val="multilevel"/>
    <w:tmpl w:val="6A894BA2"/>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518E"/>
    <w:rsid w:val="00086C40"/>
    <w:rsid w:val="00093E86"/>
    <w:rsid w:val="002A0426"/>
    <w:rsid w:val="002B1EEE"/>
    <w:rsid w:val="002D7B9D"/>
    <w:rsid w:val="003067C5"/>
    <w:rsid w:val="0033038E"/>
    <w:rsid w:val="003E280A"/>
    <w:rsid w:val="0043518E"/>
    <w:rsid w:val="004829BC"/>
    <w:rsid w:val="004F1961"/>
    <w:rsid w:val="00500169"/>
    <w:rsid w:val="005D28A7"/>
    <w:rsid w:val="006C3F0D"/>
    <w:rsid w:val="0094211D"/>
    <w:rsid w:val="009447FE"/>
    <w:rsid w:val="009E7668"/>
    <w:rsid w:val="00A005EA"/>
    <w:rsid w:val="00A22E03"/>
    <w:rsid w:val="00B30D82"/>
    <w:rsid w:val="00B32C58"/>
    <w:rsid w:val="00B9154D"/>
    <w:rsid w:val="00BE6269"/>
    <w:rsid w:val="00E13AD4"/>
    <w:rsid w:val="00E44872"/>
    <w:rsid w:val="00E56ADD"/>
    <w:rsid w:val="00F0270D"/>
    <w:rsid w:val="00F1562B"/>
    <w:rsid w:val="00F2340C"/>
    <w:rsid w:val="01A85D51"/>
    <w:rsid w:val="0200793B"/>
    <w:rsid w:val="05366E2E"/>
    <w:rsid w:val="05FD7F35"/>
    <w:rsid w:val="05FE23E4"/>
    <w:rsid w:val="064F2C3F"/>
    <w:rsid w:val="07524795"/>
    <w:rsid w:val="096A04BC"/>
    <w:rsid w:val="09E762FD"/>
    <w:rsid w:val="0C1741FF"/>
    <w:rsid w:val="0F64150A"/>
    <w:rsid w:val="160F7CF5"/>
    <w:rsid w:val="16491459"/>
    <w:rsid w:val="168C5417"/>
    <w:rsid w:val="16924BAE"/>
    <w:rsid w:val="170F61FF"/>
    <w:rsid w:val="17967428"/>
    <w:rsid w:val="183E553E"/>
    <w:rsid w:val="195F08E7"/>
    <w:rsid w:val="1AA650CC"/>
    <w:rsid w:val="1B5F527B"/>
    <w:rsid w:val="1D0E51AB"/>
    <w:rsid w:val="1D145411"/>
    <w:rsid w:val="1DF6340B"/>
    <w:rsid w:val="1DFE014A"/>
    <w:rsid w:val="1F905238"/>
    <w:rsid w:val="209C0377"/>
    <w:rsid w:val="211277A6"/>
    <w:rsid w:val="215F044C"/>
    <w:rsid w:val="22877591"/>
    <w:rsid w:val="23D36993"/>
    <w:rsid w:val="23EC53FD"/>
    <w:rsid w:val="25074398"/>
    <w:rsid w:val="258F7A29"/>
    <w:rsid w:val="283E4C16"/>
    <w:rsid w:val="2A8E3B26"/>
    <w:rsid w:val="2B261C27"/>
    <w:rsid w:val="2E261C16"/>
    <w:rsid w:val="2E5E6A77"/>
    <w:rsid w:val="2EA00856"/>
    <w:rsid w:val="2FB120F1"/>
    <w:rsid w:val="31771514"/>
    <w:rsid w:val="318A49A8"/>
    <w:rsid w:val="31CA1248"/>
    <w:rsid w:val="3329054B"/>
    <w:rsid w:val="33F26834"/>
    <w:rsid w:val="346E05B1"/>
    <w:rsid w:val="35D408E8"/>
    <w:rsid w:val="36624145"/>
    <w:rsid w:val="38B76D62"/>
    <w:rsid w:val="39CC2C38"/>
    <w:rsid w:val="3A540249"/>
    <w:rsid w:val="3BE455FD"/>
    <w:rsid w:val="3C4542ED"/>
    <w:rsid w:val="3D2E4D81"/>
    <w:rsid w:val="3D31466F"/>
    <w:rsid w:val="3EE34289"/>
    <w:rsid w:val="423B0F70"/>
    <w:rsid w:val="43827BD5"/>
    <w:rsid w:val="4A930919"/>
    <w:rsid w:val="4C214934"/>
    <w:rsid w:val="4CEC5B19"/>
    <w:rsid w:val="4CF044FC"/>
    <w:rsid w:val="4CF31723"/>
    <w:rsid w:val="4E2D698F"/>
    <w:rsid w:val="4E616114"/>
    <w:rsid w:val="4E7E368F"/>
    <w:rsid w:val="4F980780"/>
    <w:rsid w:val="50597803"/>
    <w:rsid w:val="51FF4AE6"/>
    <w:rsid w:val="525E0171"/>
    <w:rsid w:val="536C1ECE"/>
    <w:rsid w:val="56D200E7"/>
    <w:rsid w:val="577B3C57"/>
    <w:rsid w:val="59643A06"/>
    <w:rsid w:val="59BC1723"/>
    <w:rsid w:val="5A403EEE"/>
    <w:rsid w:val="5AF745AD"/>
    <w:rsid w:val="616613A3"/>
    <w:rsid w:val="629616AA"/>
    <w:rsid w:val="63026061"/>
    <w:rsid w:val="63612F0B"/>
    <w:rsid w:val="63EE7071"/>
    <w:rsid w:val="64082E16"/>
    <w:rsid w:val="6535464F"/>
    <w:rsid w:val="6691703A"/>
    <w:rsid w:val="679565B5"/>
    <w:rsid w:val="67F01465"/>
    <w:rsid w:val="68525518"/>
    <w:rsid w:val="69633FFE"/>
    <w:rsid w:val="69A2427D"/>
    <w:rsid w:val="6B155EA9"/>
    <w:rsid w:val="6CC14A1B"/>
    <w:rsid w:val="6D07714B"/>
    <w:rsid w:val="70384FF4"/>
    <w:rsid w:val="71092E34"/>
    <w:rsid w:val="733150CD"/>
    <w:rsid w:val="73C848E1"/>
    <w:rsid w:val="742C2E4E"/>
    <w:rsid w:val="74F02341"/>
    <w:rsid w:val="77E31CE9"/>
    <w:rsid w:val="78870772"/>
    <w:rsid w:val="78D930EC"/>
    <w:rsid w:val="79894B12"/>
    <w:rsid w:val="79B90F68"/>
    <w:rsid w:val="7C4B60AF"/>
    <w:rsid w:val="7D3905FD"/>
    <w:rsid w:val="7D5F300F"/>
    <w:rsid w:val="7E767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qFormat/>
    <w:uiPriority w:val="5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2284</Words>
  <Characters>2362</Characters>
  <Lines>21</Lines>
  <Paragraphs>5</Paragraphs>
  <TotalTime>0</TotalTime>
  <ScaleCrop>false</ScaleCrop>
  <LinksUpToDate>false</LinksUpToDate>
  <CharactersWithSpaces>2383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2024-11-21T08:44:00Z</dcterms:created>
  <dc:creator>郭 朋旭</dc:creator>
  <cp:lastModifiedBy>Doer</cp:lastModifiedBy>
  <cp:lastPrinted>2024-11-21T11:53:00Z</cp:lastPrinted>
  <dcterms:modified xsi:type="dcterms:W3CDTF">2025-01-03T04:59:01Z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eyJoZGlkIjoiNzhiMjZiODdhMGRiNjQ0Y2I3YjIzMDU3ZWM1NDViZGQiLCJ1c2VySWQiOiI3MDc4NTgzNDkifQ==</vt:lpwstr>
  </property>
  <property fmtid="{D5CDD505-2E9C-101B-9397-08002B2CF9AE}" pid="4" name="ICV">
    <vt:lpwstr>0DC1B6D92A6F496CBA0DFDD6B531D9F3_12</vt:lpwstr>
  </property>
</Properties>
</file>