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F4420">
      <w:pPr>
        <w:spacing w:line="240" w:lineRule="auto"/>
        <w:ind w:firstLine="0" w:firstLineChars="0"/>
        <w:jc w:val="center"/>
        <w:rPr>
          <w:rFonts w:eastAsia="方正小标宋简体" w:cs="方正小标宋简体"/>
          <w:b/>
          <w:bCs/>
          <w:sz w:val="36"/>
          <w:szCs w:val="36"/>
        </w:rPr>
      </w:pPr>
    </w:p>
    <w:p w14:paraId="5A84DE30">
      <w:pPr>
        <w:spacing w:line="240" w:lineRule="auto"/>
        <w:ind w:firstLine="0" w:firstLineChars="0"/>
        <w:rPr>
          <w:rFonts w:eastAsia="方正小标宋简体" w:cs="方正小标宋简体"/>
          <w:b/>
          <w:bCs/>
          <w:sz w:val="36"/>
          <w:szCs w:val="36"/>
        </w:rPr>
      </w:pPr>
    </w:p>
    <w:p w14:paraId="2B4A5518">
      <w:pPr>
        <w:spacing w:line="240" w:lineRule="auto"/>
        <w:ind w:firstLine="0" w:firstLineChars="0"/>
        <w:jc w:val="center"/>
        <w:rPr>
          <w:rFonts w:eastAsia="方正小标宋简体" w:cs="方正小标宋简体"/>
          <w:b/>
          <w:bCs/>
          <w:sz w:val="36"/>
          <w:szCs w:val="36"/>
        </w:rPr>
      </w:pPr>
    </w:p>
    <w:p w14:paraId="57E2979A">
      <w:pPr>
        <w:spacing w:line="240" w:lineRule="auto"/>
        <w:ind w:firstLine="0" w:firstLineChars="0"/>
        <w:jc w:val="center"/>
        <w:rPr>
          <w:rFonts w:eastAsia="方正小标宋简体" w:cs="方正小标宋简体"/>
          <w:b/>
          <w:bCs/>
          <w:sz w:val="36"/>
          <w:szCs w:val="36"/>
        </w:rPr>
      </w:pPr>
    </w:p>
    <w:p w14:paraId="003BF312">
      <w:pPr>
        <w:spacing w:line="240" w:lineRule="auto"/>
        <w:ind w:firstLine="0" w:firstLineChars="0"/>
        <w:jc w:val="center"/>
        <w:rPr>
          <w:rFonts w:eastAsia="方正小标宋简体" w:cs="方正小标宋简体"/>
          <w:b/>
          <w:bCs/>
          <w:sz w:val="36"/>
          <w:szCs w:val="36"/>
        </w:rPr>
      </w:pPr>
      <w:r>
        <w:rPr>
          <w:rFonts w:hint="eastAsia" w:eastAsia="方正小标宋简体" w:cs="方正小标宋简体"/>
          <w:b/>
          <w:bCs/>
          <w:sz w:val="36"/>
          <w:szCs w:val="36"/>
        </w:rPr>
        <w:t>大连市地方标准</w:t>
      </w:r>
    </w:p>
    <w:p w14:paraId="1123448B">
      <w:pPr>
        <w:spacing w:line="240" w:lineRule="auto"/>
        <w:ind w:firstLine="0" w:firstLineChars="0"/>
        <w:jc w:val="center"/>
        <w:rPr>
          <w:rFonts w:eastAsia="方正小标宋简体" w:cs="方正小标宋简体"/>
          <w:b/>
          <w:bCs/>
          <w:sz w:val="36"/>
          <w:szCs w:val="36"/>
        </w:rPr>
      </w:pPr>
    </w:p>
    <w:p w14:paraId="39324FAE">
      <w:pPr>
        <w:spacing w:line="240" w:lineRule="auto"/>
        <w:ind w:firstLine="0" w:firstLineChars="0"/>
        <w:jc w:val="center"/>
        <w:rPr>
          <w:rFonts w:eastAsia="方正小标宋简体" w:cs="方正小标宋简体"/>
          <w:b/>
          <w:bCs/>
          <w:sz w:val="36"/>
          <w:szCs w:val="36"/>
        </w:rPr>
      </w:pPr>
    </w:p>
    <w:p w14:paraId="340E91F1">
      <w:pPr>
        <w:spacing w:line="240" w:lineRule="auto"/>
        <w:ind w:firstLine="0" w:firstLineChars="0"/>
        <w:jc w:val="center"/>
        <w:rPr>
          <w:rFonts w:eastAsia="方正小标宋简体" w:cs="方正小标宋简体"/>
          <w:b/>
          <w:bCs/>
          <w:sz w:val="36"/>
          <w:szCs w:val="36"/>
        </w:rPr>
      </w:pPr>
    </w:p>
    <w:p w14:paraId="5989D2A0">
      <w:pPr>
        <w:spacing w:line="240" w:lineRule="auto"/>
        <w:ind w:firstLine="0" w:firstLineChars="0"/>
        <w:jc w:val="center"/>
        <w:rPr>
          <w:rFonts w:eastAsia="方正小标宋简体" w:cs="方正小标宋简体"/>
          <w:b/>
          <w:bCs/>
          <w:sz w:val="36"/>
          <w:szCs w:val="36"/>
        </w:rPr>
      </w:pPr>
    </w:p>
    <w:p w14:paraId="292A5559">
      <w:pPr>
        <w:spacing w:line="240" w:lineRule="auto"/>
        <w:ind w:firstLine="0" w:firstLineChars="0"/>
        <w:jc w:val="center"/>
        <w:rPr>
          <w:rFonts w:eastAsia="方正小标宋简体" w:cs="方正小标宋简体"/>
          <w:b/>
          <w:bCs/>
          <w:sz w:val="36"/>
          <w:szCs w:val="36"/>
        </w:rPr>
      </w:pPr>
      <w:r>
        <w:rPr>
          <w:rFonts w:hint="eastAsia" w:eastAsia="方正小标宋简体" w:cs="方正小标宋简体"/>
          <w:b/>
          <w:bCs/>
          <w:sz w:val="36"/>
          <w:szCs w:val="36"/>
        </w:rPr>
        <w:t>《水上旅游运输码头建设与管理规范》</w:t>
      </w:r>
    </w:p>
    <w:p w14:paraId="169FC7C4">
      <w:pPr>
        <w:spacing w:line="240" w:lineRule="auto"/>
        <w:ind w:firstLine="0" w:firstLineChars="0"/>
        <w:jc w:val="center"/>
        <w:rPr>
          <w:rFonts w:eastAsia="方正小标宋简体" w:cs="方正小标宋简体"/>
          <w:b/>
          <w:bCs/>
          <w:sz w:val="36"/>
          <w:szCs w:val="36"/>
        </w:rPr>
      </w:pPr>
    </w:p>
    <w:p w14:paraId="0959607E">
      <w:pPr>
        <w:spacing w:line="240" w:lineRule="auto"/>
        <w:ind w:firstLine="0" w:firstLineChars="0"/>
        <w:jc w:val="center"/>
        <w:rPr>
          <w:rFonts w:eastAsia="方正小标宋简体" w:cs="方正小标宋简体"/>
          <w:b/>
          <w:bCs/>
          <w:sz w:val="36"/>
          <w:szCs w:val="36"/>
        </w:rPr>
      </w:pPr>
    </w:p>
    <w:p w14:paraId="7DAF2F00">
      <w:pPr>
        <w:spacing w:line="240" w:lineRule="auto"/>
        <w:ind w:firstLine="0" w:firstLineChars="0"/>
        <w:jc w:val="center"/>
        <w:rPr>
          <w:rFonts w:eastAsia="方正小标宋简体" w:cs="方正小标宋简体"/>
          <w:b/>
          <w:bCs/>
          <w:sz w:val="36"/>
          <w:szCs w:val="36"/>
        </w:rPr>
      </w:pPr>
    </w:p>
    <w:p w14:paraId="0E28698C">
      <w:pPr>
        <w:spacing w:line="240" w:lineRule="auto"/>
        <w:ind w:firstLine="0" w:firstLineChars="0"/>
        <w:jc w:val="center"/>
        <w:rPr>
          <w:rFonts w:eastAsia="方正小标宋简体" w:cs="方正小标宋简体"/>
          <w:b/>
          <w:bCs/>
          <w:sz w:val="36"/>
          <w:szCs w:val="36"/>
        </w:rPr>
      </w:pPr>
    </w:p>
    <w:p w14:paraId="496E7D93">
      <w:pPr>
        <w:spacing w:line="240" w:lineRule="auto"/>
        <w:ind w:firstLine="0" w:firstLineChars="0"/>
        <w:jc w:val="center"/>
        <w:rPr>
          <w:rFonts w:eastAsia="方正小标宋简体" w:cs="方正小标宋简体"/>
          <w:b/>
          <w:bCs/>
          <w:sz w:val="36"/>
          <w:szCs w:val="36"/>
        </w:rPr>
      </w:pPr>
      <w:r>
        <w:rPr>
          <w:rFonts w:hint="eastAsia" w:eastAsia="方正小标宋简体" w:cs="方正小标宋简体"/>
          <w:b/>
          <w:bCs/>
          <w:sz w:val="36"/>
          <w:szCs w:val="36"/>
        </w:rPr>
        <w:t>编制说明</w:t>
      </w:r>
    </w:p>
    <w:p w14:paraId="397A986F">
      <w:pPr>
        <w:widowControl/>
        <w:ind w:firstLine="560"/>
        <w:jc w:val="center"/>
        <w:rPr>
          <w:rFonts w:ascii="宋体" w:hAnsi="宋体" w:eastAsia="宋体" w:cs="宋体"/>
          <w:color w:val="000000"/>
          <w:kern w:val="0"/>
          <w:sz w:val="28"/>
          <w:szCs w:val="28"/>
          <w:lang w:bidi="ar"/>
        </w:rPr>
      </w:pPr>
    </w:p>
    <w:p w14:paraId="62AFCFFF">
      <w:pPr>
        <w:widowControl/>
        <w:ind w:firstLine="3240" w:firstLineChars="900"/>
        <w:rPr>
          <w:rFonts w:ascii="方正小标宋简体" w:hAnsi="方正小标宋简体" w:eastAsia="方正小标宋简体" w:cs="方正小标宋简体"/>
          <w:color w:val="000000"/>
          <w:kern w:val="0"/>
          <w:sz w:val="36"/>
          <w:szCs w:val="36"/>
          <w:lang w:bidi="ar"/>
        </w:rPr>
      </w:pPr>
    </w:p>
    <w:p w14:paraId="4CFB9D0F">
      <w:pPr>
        <w:widowControl/>
        <w:ind w:firstLine="3240" w:firstLineChars="900"/>
        <w:rPr>
          <w:rFonts w:ascii="方正小标宋简体" w:hAnsi="方正小标宋简体" w:eastAsia="方正小标宋简体" w:cs="方正小标宋简体"/>
          <w:color w:val="000000"/>
          <w:kern w:val="0"/>
          <w:sz w:val="36"/>
          <w:szCs w:val="36"/>
          <w:lang w:bidi="ar"/>
        </w:rPr>
      </w:pPr>
    </w:p>
    <w:p w14:paraId="4F347211">
      <w:pPr>
        <w:widowControl/>
        <w:ind w:firstLine="3240" w:firstLineChars="900"/>
        <w:rPr>
          <w:rFonts w:ascii="方正小标宋简体" w:hAnsi="方正小标宋简体" w:eastAsia="方正小标宋简体" w:cs="方正小标宋简体"/>
          <w:color w:val="000000"/>
          <w:kern w:val="0"/>
          <w:sz w:val="36"/>
          <w:szCs w:val="36"/>
          <w:lang w:bidi="ar"/>
        </w:rPr>
      </w:pPr>
      <w:r>
        <w:rPr>
          <w:rFonts w:hint="eastAsia" w:ascii="方正小标宋简体" w:hAnsi="方正小标宋简体" w:eastAsia="方正小标宋简体" w:cs="方正小标宋简体"/>
          <w:color w:val="000000"/>
          <w:kern w:val="0"/>
          <w:sz w:val="36"/>
          <w:szCs w:val="36"/>
          <w:lang w:bidi="ar"/>
        </w:rPr>
        <w:t>标准起草组</w:t>
      </w:r>
    </w:p>
    <w:p w14:paraId="66B0BB42">
      <w:pPr>
        <w:widowControl/>
        <w:ind w:firstLine="560"/>
        <w:jc w:val="center"/>
        <w:rPr>
          <w:rFonts w:ascii="宋体" w:hAnsi="宋体" w:eastAsia="宋体" w:cs="宋体"/>
          <w:color w:val="000000"/>
          <w:kern w:val="0"/>
          <w:sz w:val="28"/>
          <w:szCs w:val="28"/>
          <w:lang w:bidi="ar"/>
        </w:rPr>
      </w:pPr>
    </w:p>
    <w:p w14:paraId="2639E662">
      <w:pPr>
        <w:spacing w:line="240" w:lineRule="auto"/>
        <w:ind w:firstLine="0" w:firstLineChars="0"/>
        <w:jc w:val="center"/>
        <w:rPr>
          <w:rFonts w:ascii="方正仿宋_GB2312" w:hAnsi="方正仿宋_GB2312" w:eastAsia="方正仿宋_GB2312" w:cs="方正仿宋_GB2312"/>
          <w:b/>
          <w:bCs/>
          <w:sz w:val="36"/>
          <w:szCs w:val="36"/>
        </w:rPr>
      </w:pPr>
      <w:r>
        <w:rPr>
          <w:rFonts w:hint="eastAsia" w:eastAsia="方正小标宋简体" w:cs="方正小标宋简体"/>
          <w:sz w:val="36"/>
          <w:szCs w:val="36"/>
        </w:rPr>
        <w:br w:type="page"/>
      </w:r>
      <w:r>
        <w:rPr>
          <w:rFonts w:hint="eastAsia" w:ascii="方正仿宋_GB2312" w:hAnsi="方正仿宋_GB2312" w:eastAsia="方正仿宋_GB2312" w:cs="方正仿宋_GB2312"/>
          <w:b/>
          <w:bCs/>
          <w:sz w:val="36"/>
          <w:szCs w:val="36"/>
        </w:rPr>
        <w:t>《水上旅游运输码头建设与管理规范》</w:t>
      </w:r>
    </w:p>
    <w:p w14:paraId="7DD4645C">
      <w:pPr>
        <w:spacing w:line="240" w:lineRule="auto"/>
        <w:ind w:firstLine="0" w:firstLineChars="0"/>
        <w:jc w:val="center"/>
        <w:rPr>
          <w:rFonts w:ascii="方正仿宋_GB2312" w:hAnsi="方正仿宋_GB2312" w:eastAsia="方正仿宋_GB2312" w:cs="方正仿宋_GB2312"/>
          <w:b/>
          <w:bCs/>
          <w:sz w:val="36"/>
          <w:szCs w:val="36"/>
        </w:rPr>
      </w:pPr>
      <w:r>
        <w:rPr>
          <w:rFonts w:hint="eastAsia" w:ascii="方正仿宋_GB2312" w:hAnsi="方正仿宋_GB2312" w:eastAsia="方正仿宋_GB2312" w:cs="方正仿宋_GB2312"/>
          <w:b/>
          <w:bCs/>
          <w:sz w:val="36"/>
          <w:szCs w:val="36"/>
        </w:rPr>
        <w:t>编制说明</w:t>
      </w:r>
    </w:p>
    <w:p w14:paraId="6C50C949">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ascii="方正仿宋_GB2312" w:hAnsi="方正仿宋_GB2312" w:eastAsia="方正仿宋_GB2312" w:cs="方正仿宋_GB2312"/>
          <w:b/>
          <w:bCs/>
          <w:szCs w:val="32"/>
        </w:rPr>
      </w:pPr>
      <w:r>
        <w:rPr>
          <w:rFonts w:hint="eastAsia" w:ascii="方正仿宋_GB2312" w:hAnsi="方正仿宋_GB2312" w:eastAsia="方正仿宋_GB2312" w:cs="方正仿宋_GB2312"/>
          <w:b/>
          <w:bCs/>
          <w:szCs w:val="32"/>
        </w:rPr>
        <w:t>工作简介</w:t>
      </w:r>
    </w:p>
    <w:p w14:paraId="53A533D5">
      <w:pPr>
        <w:numPr>
          <w:ilvl w:val="0"/>
          <w:numId w:val="3"/>
        </w:numPr>
        <w:ind w:firstLine="321" w:firstLineChars="100"/>
        <w:rPr>
          <w:rFonts w:ascii="方正仿宋_GB2312" w:hAnsi="方正仿宋_GB2312" w:eastAsia="方正仿宋_GB2312" w:cs="方正仿宋_GB2312"/>
          <w:b/>
          <w:bCs/>
          <w:szCs w:val="32"/>
        </w:rPr>
      </w:pPr>
      <w:r>
        <w:rPr>
          <w:rFonts w:hint="eastAsia" w:ascii="方正仿宋_GB2312" w:hAnsi="方正仿宋_GB2312" w:eastAsia="方正仿宋_GB2312" w:cs="方正仿宋_GB2312"/>
          <w:b/>
          <w:bCs/>
          <w:szCs w:val="32"/>
        </w:rPr>
        <w:t>任务来源</w:t>
      </w:r>
    </w:p>
    <w:p w14:paraId="7EBE1352">
      <w:pPr>
        <w:ind w:firstLine="640"/>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根据大连市市场监督管理局印发的《关于下达2024年大连市第二批地方标准立项计划的通知》（大市监（2024） 91 号），本标准制定任务列入大连市地方标准制定计划（计划编号为2024050）。</w:t>
      </w:r>
    </w:p>
    <w:p w14:paraId="35F5D90A">
      <w:pPr>
        <w:ind w:firstLine="640"/>
        <w:rPr>
          <w:rFonts w:ascii="方正仿宋_GB2312" w:hAnsi="方正仿宋_GB2312" w:eastAsia="方正仿宋_GB2312" w:cs="方正仿宋_GB2312"/>
          <w:b/>
          <w:bCs/>
          <w:color w:val="000000" w:themeColor="text1"/>
          <w:szCs w:val="32"/>
          <w14:textFill>
            <w14:solidFill>
              <w14:schemeClr w14:val="tx1"/>
            </w14:solidFill>
          </w14:textFill>
        </w:rPr>
      </w:pPr>
      <w:r>
        <w:rPr>
          <w:rFonts w:hint="eastAsia" w:ascii="方正仿宋_GB2312" w:hAnsi="方正仿宋_GB2312" w:eastAsia="方正仿宋_GB2312" w:cs="方正仿宋_GB2312"/>
          <w:color w:val="000000" w:themeColor="text1"/>
          <w:szCs w:val="32"/>
          <w14:textFill>
            <w14:solidFill>
              <w14:schemeClr w14:val="tx1"/>
            </w14:solidFill>
          </w14:textFill>
        </w:rPr>
        <w:t>本标准由大连市交通运输局提出并归口。</w:t>
      </w:r>
    </w:p>
    <w:p w14:paraId="1EE033C2">
      <w:pPr>
        <w:numPr>
          <w:ilvl w:val="0"/>
          <w:numId w:val="3"/>
        </w:numPr>
        <w:ind w:firstLine="321" w:firstLineChars="100"/>
        <w:rPr>
          <w:rFonts w:ascii="方正仿宋_GB2312" w:hAnsi="方正仿宋_GB2312" w:eastAsia="方正仿宋_GB2312" w:cs="方正仿宋_GB2312"/>
          <w:b/>
          <w:bCs/>
          <w:szCs w:val="32"/>
        </w:rPr>
      </w:pPr>
      <w:r>
        <w:rPr>
          <w:rFonts w:hint="eastAsia" w:ascii="方正仿宋_GB2312" w:hAnsi="方正仿宋_GB2312" w:eastAsia="方正仿宋_GB2312" w:cs="方正仿宋_GB2312"/>
          <w:b/>
          <w:bCs/>
          <w:szCs w:val="32"/>
        </w:rPr>
        <w:t>制定标准的必要性和意义</w:t>
      </w:r>
    </w:p>
    <w:p w14:paraId="29BED68D">
      <w:pPr>
        <w:ind w:firstLine="640"/>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大连市位于中国东北地区南部，三面环海，拥有得天独厚的地理优势，为水上旅游运输码头的建设提供了良好的自然条件，同时随着人们生活水平的提高和休闲观念的转变，越来越多的游客选择海上旅游作为休闲方式，对旅游运输的需求也日益增长，因此，规范旅游运输码头的建设与管理，是满足游客日益增长的出行需求，提升旅游体验的必要举措。</w:t>
      </w:r>
    </w:p>
    <w:p w14:paraId="4009F586">
      <w:pPr>
        <w:ind w:firstLine="640"/>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旅游运输作为城市的重要门户，其建设和管理水平直接关系到城市的形象和声誉，在《大连市游艇码头布局专项规划（2023-2035）》中强调优化提升现有游艇码头功能，完善环保消防等基础设施配套及维护等综合配套设施，加强与城市功能的融合发展，新建、改建、扩建码头优先选择在优化利用岸线段建设，提升码头综合服务品质有关工作要求。进一步规范我市旅游运输码头建设管理，切实解决企业诉求，有效提升服务质量，这就迫切需要企业和各相关管理部门编制相关规定对其加以规范，因此，此次拟制定水上旅游运输码头建设与管理规范这一地方标准势在必行。</w:t>
      </w:r>
    </w:p>
    <w:p w14:paraId="135AB9CE">
      <w:pPr>
        <w:ind w:firstLine="640"/>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目前辽宁省及大连市内暂无对水上旅游运输码头建设与管理规范的标准，该标准的发布可填补我省的空白。</w:t>
      </w:r>
    </w:p>
    <w:p w14:paraId="7A18BEDE">
      <w:pPr>
        <w:numPr>
          <w:ilvl w:val="0"/>
          <w:numId w:val="3"/>
        </w:numPr>
        <w:ind w:firstLine="321" w:firstLineChars="100"/>
        <w:rPr>
          <w:rFonts w:ascii="方正仿宋_GB2312" w:hAnsi="方正仿宋_GB2312" w:eastAsia="方正仿宋_GB2312" w:cs="方正仿宋_GB2312"/>
          <w:b/>
          <w:bCs/>
          <w:szCs w:val="32"/>
        </w:rPr>
      </w:pPr>
      <w:r>
        <w:rPr>
          <w:rFonts w:hint="eastAsia" w:ascii="方正仿宋_GB2312" w:hAnsi="方正仿宋_GB2312" w:eastAsia="方正仿宋_GB2312" w:cs="方正仿宋_GB2312"/>
          <w:b/>
          <w:bCs/>
          <w:szCs w:val="32"/>
        </w:rPr>
        <w:t>起草单位、协作单位</w:t>
      </w:r>
    </w:p>
    <w:p w14:paraId="19775846">
      <w:pPr>
        <w:ind w:firstLine="640"/>
        <w:rPr>
          <w:rFonts w:ascii="方正仿宋_GB2312" w:hAnsi="方正仿宋_GB2312" w:eastAsia="方正仿宋_GB2312" w:cs="方正仿宋_GB2312"/>
          <w:color w:val="000000" w:themeColor="text1"/>
          <w:szCs w:val="32"/>
          <w14:textFill>
            <w14:solidFill>
              <w14:schemeClr w14:val="tx1"/>
            </w14:solidFill>
          </w14:textFill>
        </w:rPr>
      </w:pPr>
      <w:r>
        <w:rPr>
          <w:rFonts w:hint="eastAsia" w:ascii="方正仿宋_GB2312" w:hAnsi="方正仿宋_GB2312" w:eastAsia="方正仿宋_GB2312" w:cs="方正仿宋_GB2312"/>
          <w:color w:val="000000" w:themeColor="text1"/>
          <w:szCs w:val="32"/>
          <w14:textFill>
            <w14:solidFill>
              <w14:schemeClr w14:val="tx1"/>
            </w14:solidFill>
          </w14:textFill>
        </w:rPr>
        <w:t>1.本标准由大连市交通运输局提出并归口。</w:t>
      </w:r>
    </w:p>
    <w:p w14:paraId="3656BE67">
      <w:pPr>
        <w:ind w:firstLine="640"/>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2.本标准主要起草单位：</w:t>
      </w:r>
    </w:p>
    <w:p w14:paraId="3BFFA7C1">
      <w:pPr>
        <w:ind w:firstLine="640"/>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大连港口设计研究院有限公司、大连标准认证研究院有限公司、大连天赖安全风险管理技术有限公司、大连文化旅游发展集团有限公司、大连市交通和航运物流发展服务中心、辽宁省交通运输事务服务中心。</w:t>
      </w:r>
    </w:p>
    <w:p w14:paraId="0CC6974B">
      <w:pPr>
        <w:numPr>
          <w:ilvl w:val="0"/>
          <w:numId w:val="3"/>
        </w:numPr>
        <w:ind w:firstLine="321" w:firstLineChars="100"/>
        <w:rPr>
          <w:rFonts w:ascii="方正仿宋_GB2312" w:hAnsi="方正仿宋_GB2312" w:eastAsia="方正仿宋_GB2312" w:cs="方正仿宋_GB2312"/>
          <w:b/>
          <w:bCs/>
          <w:szCs w:val="32"/>
        </w:rPr>
      </w:pPr>
      <w:r>
        <w:rPr>
          <w:rFonts w:hint="eastAsia" w:ascii="方正仿宋_GB2312" w:hAnsi="方正仿宋_GB2312" w:eastAsia="方正仿宋_GB2312" w:cs="方正仿宋_GB2312"/>
          <w:b/>
          <w:bCs/>
          <w:szCs w:val="32"/>
        </w:rPr>
        <w:t>主要起草人及其所做的工作</w:t>
      </w:r>
    </w:p>
    <w:p w14:paraId="2A014E2C">
      <w:pPr>
        <w:ind w:firstLine="0" w:firstLineChars="0"/>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表 1 主要起草人与任务分工</w:t>
      </w:r>
    </w:p>
    <w:tbl>
      <w:tblPr>
        <w:tblStyle w:val="14"/>
        <w:tblW w:w="87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1010"/>
        <w:gridCol w:w="2871"/>
        <w:gridCol w:w="1804"/>
        <w:gridCol w:w="2187"/>
      </w:tblGrid>
      <w:tr w14:paraId="4532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6" w:hRule="atLeast"/>
        </w:trPr>
        <w:tc>
          <w:tcPr>
            <w:tcW w:w="845" w:type="dxa"/>
            <w:vAlign w:val="center"/>
          </w:tcPr>
          <w:p w14:paraId="556987BF">
            <w:pPr>
              <w:ind w:firstLine="0" w:firstLineChars="0"/>
              <w:jc w:val="center"/>
              <w:rPr>
                <w:rFonts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序号</w:t>
            </w:r>
          </w:p>
        </w:tc>
        <w:tc>
          <w:tcPr>
            <w:tcW w:w="1010" w:type="dxa"/>
            <w:vAlign w:val="center"/>
          </w:tcPr>
          <w:p w14:paraId="11A19475">
            <w:pPr>
              <w:ind w:firstLine="0" w:firstLineChars="0"/>
              <w:jc w:val="center"/>
              <w:rPr>
                <w:rFonts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姓名</w:t>
            </w:r>
          </w:p>
        </w:tc>
        <w:tc>
          <w:tcPr>
            <w:tcW w:w="2871" w:type="dxa"/>
            <w:vAlign w:val="center"/>
          </w:tcPr>
          <w:p w14:paraId="35A80C2B">
            <w:pPr>
              <w:ind w:firstLine="0" w:firstLineChars="0"/>
              <w:jc w:val="center"/>
              <w:rPr>
                <w:rFonts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工作单位</w:t>
            </w:r>
          </w:p>
        </w:tc>
        <w:tc>
          <w:tcPr>
            <w:tcW w:w="1804" w:type="dxa"/>
            <w:vAlign w:val="center"/>
          </w:tcPr>
          <w:p w14:paraId="38F2D319">
            <w:pPr>
              <w:ind w:firstLine="0" w:firstLineChars="0"/>
              <w:jc w:val="center"/>
              <w:rPr>
                <w:rFonts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职务</w:t>
            </w:r>
          </w:p>
        </w:tc>
        <w:tc>
          <w:tcPr>
            <w:tcW w:w="2187" w:type="dxa"/>
            <w:vAlign w:val="center"/>
          </w:tcPr>
          <w:p w14:paraId="1A7450F1">
            <w:pPr>
              <w:ind w:firstLine="0" w:firstLineChars="0"/>
              <w:jc w:val="center"/>
              <w:rPr>
                <w:rFonts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任务分工</w:t>
            </w:r>
          </w:p>
        </w:tc>
      </w:tr>
      <w:tr w14:paraId="5F2C0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845" w:type="dxa"/>
            <w:vAlign w:val="center"/>
          </w:tcPr>
          <w:p w14:paraId="6475AD7C">
            <w:pPr>
              <w:spacing w:line="240" w:lineRule="auto"/>
              <w:ind w:firstLine="0" w:firstLineChars="0"/>
              <w:jc w:val="center"/>
              <w:rPr>
                <w:rFonts w:hint="eastAsia" w:ascii="仿宋_GB2312" w:hAnsi="宋体" w:cs="Times New Roman"/>
                <w:sz w:val="24"/>
                <w:szCs w:val="24"/>
              </w:rPr>
            </w:pPr>
            <w:r>
              <w:rPr>
                <w:rFonts w:hint="eastAsia" w:ascii="仿宋_GB2312" w:hAnsi="宋体" w:cs="Times New Roman"/>
                <w:sz w:val="24"/>
                <w:szCs w:val="24"/>
              </w:rPr>
              <w:t>1</w:t>
            </w:r>
          </w:p>
        </w:tc>
        <w:tc>
          <w:tcPr>
            <w:tcW w:w="1010" w:type="dxa"/>
            <w:vAlign w:val="center"/>
          </w:tcPr>
          <w:p w14:paraId="6B669A88">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魏国欣</w:t>
            </w:r>
          </w:p>
        </w:tc>
        <w:tc>
          <w:tcPr>
            <w:tcW w:w="2871" w:type="dxa"/>
            <w:vAlign w:val="center"/>
          </w:tcPr>
          <w:p w14:paraId="26676640">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大连港口设计研究院有限公司</w:t>
            </w:r>
          </w:p>
        </w:tc>
        <w:tc>
          <w:tcPr>
            <w:tcW w:w="1804" w:type="dxa"/>
            <w:vAlign w:val="center"/>
          </w:tcPr>
          <w:p w14:paraId="1148C91A">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高级工程师</w:t>
            </w:r>
          </w:p>
        </w:tc>
        <w:tc>
          <w:tcPr>
            <w:tcW w:w="2187" w:type="dxa"/>
            <w:vAlign w:val="center"/>
          </w:tcPr>
          <w:p w14:paraId="7B53808F">
            <w:pPr>
              <w:spacing w:line="240" w:lineRule="auto"/>
              <w:ind w:firstLine="0" w:firstLineChars="0"/>
              <w:jc w:val="left"/>
              <w:rPr>
                <w:rFonts w:hint="eastAsia" w:ascii="仿宋_GB2312" w:hAnsi="仿宋_GB2312" w:eastAsia="仿宋_GB2312" w:cs="仿宋_GB2312"/>
                <w:sz w:val="24"/>
                <w:szCs w:val="24"/>
              </w:rPr>
            </w:pPr>
            <w:r>
              <w:rPr>
                <w:rFonts w:hint="eastAsia" w:ascii="仿宋_GB2312" w:hAnsi="仿宋_GB2312" w:cs="仿宋_GB2312"/>
                <w:sz w:val="24"/>
                <w:szCs w:val="24"/>
                <w:lang w:val="en-US" w:eastAsia="zh-CN"/>
              </w:rPr>
              <w:t>负责</w:t>
            </w:r>
            <w:r>
              <w:rPr>
                <w:rFonts w:hint="eastAsia" w:ascii="仿宋_GB2312" w:hAnsi="仿宋_GB2312" w:eastAsia="仿宋_GB2312" w:cs="仿宋_GB2312"/>
                <w:sz w:val="24"/>
                <w:szCs w:val="24"/>
              </w:rPr>
              <w:t>标准编制总体策划、实施、标准的技术把关</w:t>
            </w:r>
          </w:p>
        </w:tc>
      </w:tr>
      <w:tr w14:paraId="191A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845" w:type="dxa"/>
            <w:vAlign w:val="center"/>
          </w:tcPr>
          <w:p w14:paraId="6CF48650">
            <w:pPr>
              <w:spacing w:line="240" w:lineRule="auto"/>
              <w:ind w:firstLine="0" w:firstLineChars="0"/>
              <w:jc w:val="center"/>
              <w:rPr>
                <w:rFonts w:hint="eastAsia" w:ascii="仿宋_GB2312" w:hAnsi="宋体" w:cs="Times New Roman"/>
                <w:sz w:val="24"/>
                <w:szCs w:val="24"/>
              </w:rPr>
            </w:pPr>
            <w:r>
              <w:rPr>
                <w:rFonts w:hint="eastAsia" w:ascii="仿宋_GB2312" w:hAnsi="宋体" w:cs="Times New Roman"/>
                <w:sz w:val="24"/>
                <w:szCs w:val="24"/>
              </w:rPr>
              <w:t>2</w:t>
            </w:r>
          </w:p>
        </w:tc>
        <w:tc>
          <w:tcPr>
            <w:tcW w:w="1010" w:type="dxa"/>
            <w:vAlign w:val="center"/>
          </w:tcPr>
          <w:p w14:paraId="2A058FAC">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刘鹏</w:t>
            </w:r>
          </w:p>
        </w:tc>
        <w:tc>
          <w:tcPr>
            <w:tcW w:w="2871" w:type="dxa"/>
            <w:vAlign w:val="center"/>
          </w:tcPr>
          <w:p w14:paraId="69169566">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大连标准认证研究院有限公司</w:t>
            </w:r>
          </w:p>
        </w:tc>
        <w:tc>
          <w:tcPr>
            <w:tcW w:w="1804" w:type="dxa"/>
            <w:vAlign w:val="center"/>
          </w:tcPr>
          <w:p w14:paraId="712B77EB">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工程师</w:t>
            </w:r>
          </w:p>
        </w:tc>
        <w:tc>
          <w:tcPr>
            <w:tcW w:w="2187" w:type="dxa"/>
            <w:vAlign w:val="center"/>
          </w:tcPr>
          <w:p w14:paraId="0363FB5E">
            <w:pPr>
              <w:spacing w:line="240" w:lineRule="auto"/>
              <w:ind w:firstLine="0" w:firstLineChars="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负责</w:t>
            </w:r>
            <w:r>
              <w:rPr>
                <w:rFonts w:hint="eastAsia" w:ascii="仿宋_GB2312" w:hAnsi="仿宋_GB2312" w:eastAsia="仿宋_GB2312" w:cs="仿宋_GB2312"/>
                <w:sz w:val="24"/>
                <w:szCs w:val="24"/>
                <w:lang w:val="en-US" w:eastAsia="zh-CN"/>
              </w:rPr>
              <w:t>总体</w:t>
            </w:r>
            <w:r>
              <w:rPr>
                <w:rFonts w:hint="eastAsia" w:ascii="仿宋_GB2312" w:hAnsi="仿宋_GB2312" w:eastAsia="仿宋_GB2312" w:cs="仿宋_GB2312"/>
                <w:sz w:val="24"/>
                <w:szCs w:val="24"/>
              </w:rPr>
              <w:t>协调编制组工作安排以及标准</w:t>
            </w:r>
            <w:r>
              <w:rPr>
                <w:rStyle w:val="21"/>
                <w:rFonts w:hint="eastAsia" w:ascii="仿宋_GB2312" w:hAnsi="仿宋_GB2312" w:eastAsia="仿宋_GB2312" w:cs="仿宋_GB2312"/>
                <w:color w:val="auto"/>
                <w:sz w:val="24"/>
                <w:szCs w:val="24"/>
              </w:rPr>
              <w:t>的起草</w:t>
            </w:r>
            <w:r>
              <w:rPr>
                <w:rStyle w:val="21"/>
                <w:rFonts w:hint="eastAsia" w:ascii="仿宋_GB2312" w:hAnsi="仿宋_GB2312" w:eastAsia="仿宋_GB2312" w:cs="仿宋_GB2312"/>
                <w:color w:val="auto"/>
                <w:sz w:val="24"/>
                <w:szCs w:val="24"/>
                <w:lang w:eastAsia="zh-CN"/>
              </w:rPr>
              <w:t>、</w:t>
            </w:r>
            <w:r>
              <w:rPr>
                <w:rStyle w:val="21"/>
                <w:rFonts w:hint="eastAsia" w:ascii="仿宋_GB2312" w:hAnsi="仿宋_GB2312" w:eastAsia="仿宋_GB2312" w:cs="仿宋_GB2312"/>
                <w:color w:val="auto"/>
                <w:sz w:val="24"/>
                <w:szCs w:val="24"/>
                <w:lang w:val="en-US" w:eastAsia="zh-CN"/>
              </w:rPr>
              <w:t>编制说明的编写</w:t>
            </w:r>
          </w:p>
        </w:tc>
      </w:tr>
      <w:tr w14:paraId="3327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845" w:type="dxa"/>
            <w:vAlign w:val="center"/>
          </w:tcPr>
          <w:p w14:paraId="381EC484">
            <w:pPr>
              <w:spacing w:line="240" w:lineRule="auto"/>
              <w:ind w:firstLine="0" w:firstLineChars="0"/>
              <w:jc w:val="center"/>
              <w:rPr>
                <w:rFonts w:hint="eastAsia" w:ascii="仿宋_GB2312" w:hAnsi="宋体" w:cs="Times New Roman"/>
                <w:sz w:val="24"/>
                <w:szCs w:val="24"/>
              </w:rPr>
            </w:pPr>
            <w:r>
              <w:rPr>
                <w:rFonts w:hint="eastAsia" w:ascii="仿宋_GB2312" w:hAnsi="宋体" w:cs="Times New Roman"/>
                <w:sz w:val="24"/>
                <w:szCs w:val="24"/>
              </w:rPr>
              <w:t>3</w:t>
            </w:r>
          </w:p>
        </w:tc>
        <w:tc>
          <w:tcPr>
            <w:tcW w:w="1010" w:type="dxa"/>
            <w:vAlign w:val="center"/>
          </w:tcPr>
          <w:p w14:paraId="0FBD454C">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魏林</w:t>
            </w:r>
          </w:p>
        </w:tc>
        <w:tc>
          <w:tcPr>
            <w:tcW w:w="2871" w:type="dxa"/>
            <w:vAlign w:val="center"/>
          </w:tcPr>
          <w:p w14:paraId="332F151E">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大连市交通和航运物流发展服务中心</w:t>
            </w:r>
          </w:p>
        </w:tc>
        <w:tc>
          <w:tcPr>
            <w:tcW w:w="1804" w:type="dxa"/>
            <w:vAlign w:val="center"/>
          </w:tcPr>
          <w:p w14:paraId="73630669">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高级工程师</w:t>
            </w:r>
          </w:p>
        </w:tc>
        <w:tc>
          <w:tcPr>
            <w:tcW w:w="2187" w:type="dxa"/>
            <w:vAlign w:val="center"/>
          </w:tcPr>
          <w:p w14:paraId="52831BFD">
            <w:pPr>
              <w:spacing w:line="240" w:lineRule="auto"/>
              <w:ind w:firstLine="0" w:firstLineChars="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参与编制方案确定，协同调研，给与指导意见</w:t>
            </w:r>
          </w:p>
        </w:tc>
      </w:tr>
      <w:tr w14:paraId="0820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845" w:type="dxa"/>
            <w:vAlign w:val="center"/>
          </w:tcPr>
          <w:p w14:paraId="7EC7720A">
            <w:pPr>
              <w:spacing w:line="240" w:lineRule="auto"/>
              <w:ind w:firstLine="0" w:firstLineChars="0"/>
              <w:jc w:val="center"/>
              <w:rPr>
                <w:rFonts w:hint="eastAsia" w:ascii="仿宋_GB2312" w:hAnsi="宋体" w:cs="Times New Roman"/>
                <w:sz w:val="24"/>
                <w:szCs w:val="24"/>
              </w:rPr>
            </w:pPr>
            <w:r>
              <w:rPr>
                <w:rFonts w:hint="eastAsia" w:ascii="仿宋_GB2312" w:hAnsi="宋体" w:cs="Times New Roman"/>
                <w:sz w:val="24"/>
                <w:szCs w:val="24"/>
              </w:rPr>
              <w:t>4</w:t>
            </w:r>
          </w:p>
        </w:tc>
        <w:tc>
          <w:tcPr>
            <w:tcW w:w="1010" w:type="dxa"/>
            <w:vAlign w:val="center"/>
          </w:tcPr>
          <w:p w14:paraId="2D6EC112">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孔令学</w:t>
            </w:r>
          </w:p>
        </w:tc>
        <w:tc>
          <w:tcPr>
            <w:tcW w:w="2871" w:type="dxa"/>
            <w:vAlign w:val="center"/>
          </w:tcPr>
          <w:p w14:paraId="3A40FF06">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大连港口设计研究院有限公司</w:t>
            </w:r>
          </w:p>
        </w:tc>
        <w:tc>
          <w:tcPr>
            <w:tcW w:w="1804" w:type="dxa"/>
            <w:vAlign w:val="center"/>
          </w:tcPr>
          <w:p w14:paraId="63940B4B">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rPr>
              <w:t>高级工程师</w:t>
            </w:r>
          </w:p>
        </w:tc>
        <w:tc>
          <w:tcPr>
            <w:tcW w:w="2187" w:type="dxa"/>
            <w:vAlign w:val="center"/>
          </w:tcPr>
          <w:p w14:paraId="2ED67884">
            <w:pPr>
              <w:spacing w:line="240" w:lineRule="atLeast"/>
              <w:ind w:left="0" w:leftChars="0" w:firstLine="0" w:firstLineChars="0"/>
              <w:rPr>
                <w:rFonts w:hint="eastAsia" w:ascii="仿宋_GB2312" w:hAnsi="仿宋_GB2312" w:eastAsia="仿宋_GB2312" w:cs="仿宋_GB2312"/>
                <w:sz w:val="24"/>
                <w:szCs w:val="24"/>
              </w:rPr>
            </w:pPr>
            <w:r>
              <w:rPr>
                <w:rStyle w:val="21"/>
                <w:rFonts w:hint="eastAsia" w:ascii="仿宋_GB2312" w:hAnsi="仿宋_GB2312" w:eastAsia="仿宋_GB2312" w:cs="仿宋_GB2312"/>
                <w:color w:val="auto"/>
                <w:sz w:val="24"/>
                <w:szCs w:val="24"/>
              </w:rPr>
              <w:t>标准起草</w:t>
            </w:r>
            <w:r>
              <w:rPr>
                <w:rFonts w:hint="eastAsia" w:ascii="仿宋_GB2312" w:hAnsi="仿宋_GB2312" w:eastAsia="仿宋_GB2312" w:cs="仿宋_GB2312"/>
                <w:sz w:val="24"/>
                <w:szCs w:val="24"/>
              </w:rPr>
              <w:t>、标准</w:t>
            </w:r>
            <w:r>
              <w:rPr>
                <w:rFonts w:hint="eastAsia" w:ascii="仿宋_GB2312" w:hAnsi="仿宋_GB2312" w:cs="仿宋_GB2312"/>
                <w:sz w:val="24"/>
                <w:szCs w:val="24"/>
                <w:lang w:val="en-US" w:eastAsia="zh-CN"/>
              </w:rPr>
              <w:t>修改</w:t>
            </w:r>
            <w:r>
              <w:rPr>
                <w:rFonts w:hint="eastAsia" w:ascii="仿宋_GB2312" w:hAnsi="仿宋_GB2312" w:eastAsia="仿宋_GB2312" w:cs="仿宋_GB2312"/>
                <w:sz w:val="24"/>
                <w:szCs w:val="24"/>
              </w:rPr>
              <w:t>、组织和协调等工作</w:t>
            </w:r>
          </w:p>
        </w:tc>
      </w:tr>
      <w:tr w14:paraId="7DB70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845" w:type="dxa"/>
            <w:vAlign w:val="center"/>
          </w:tcPr>
          <w:p w14:paraId="497E2BCA">
            <w:pPr>
              <w:spacing w:line="240" w:lineRule="auto"/>
              <w:ind w:firstLine="0" w:firstLineChars="0"/>
              <w:jc w:val="center"/>
              <w:rPr>
                <w:rFonts w:hint="eastAsia" w:ascii="仿宋_GB2312" w:hAnsi="宋体" w:cs="Times New Roman"/>
                <w:sz w:val="24"/>
                <w:szCs w:val="24"/>
              </w:rPr>
            </w:pPr>
            <w:r>
              <w:rPr>
                <w:rFonts w:hint="eastAsia" w:ascii="仿宋_GB2312" w:hAnsi="宋体" w:cs="Times New Roman"/>
                <w:sz w:val="24"/>
                <w:szCs w:val="24"/>
              </w:rPr>
              <w:t>5</w:t>
            </w:r>
          </w:p>
        </w:tc>
        <w:tc>
          <w:tcPr>
            <w:tcW w:w="1010" w:type="dxa"/>
            <w:vAlign w:val="center"/>
          </w:tcPr>
          <w:p w14:paraId="4445530D">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夏璐一</w:t>
            </w:r>
          </w:p>
        </w:tc>
        <w:tc>
          <w:tcPr>
            <w:tcW w:w="2871" w:type="dxa"/>
            <w:vAlign w:val="center"/>
          </w:tcPr>
          <w:p w14:paraId="6F7107EC">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大连港口设计研究院有限公司</w:t>
            </w:r>
          </w:p>
        </w:tc>
        <w:tc>
          <w:tcPr>
            <w:tcW w:w="1804" w:type="dxa"/>
            <w:vAlign w:val="center"/>
          </w:tcPr>
          <w:p w14:paraId="62C0A511">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rPr>
              <w:t>高级工程师</w:t>
            </w:r>
          </w:p>
        </w:tc>
        <w:tc>
          <w:tcPr>
            <w:tcW w:w="2187" w:type="dxa"/>
            <w:vAlign w:val="center"/>
          </w:tcPr>
          <w:p w14:paraId="3B5222F7">
            <w:pPr>
              <w:spacing w:line="240" w:lineRule="atLeast"/>
              <w:ind w:left="0" w:leftChars="0" w:firstLine="0" w:firstLineChars="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负责标准起草工作中</w:t>
            </w:r>
            <w:r>
              <w:rPr>
                <w:rFonts w:hint="eastAsia" w:ascii="仿宋_GB2312" w:hAnsi="仿宋_GB2312" w:eastAsia="仿宋_GB2312" w:cs="仿宋_GB2312"/>
                <w:sz w:val="24"/>
                <w:szCs w:val="24"/>
                <w:lang w:val="en-US" w:eastAsia="zh-CN"/>
              </w:rPr>
              <w:t>部分</w:t>
            </w:r>
            <w:r>
              <w:rPr>
                <w:rFonts w:hint="eastAsia" w:ascii="仿宋_GB2312" w:hAnsi="仿宋_GB2312" w:eastAsia="仿宋_GB2312" w:cs="仿宋_GB2312"/>
                <w:sz w:val="24"/>
                <w:szCs w:val="24"/>
              </w:rPr>
              <w:t>技术的确定以及专家反馈意见的分析工作</w:t>
            </w:r>
          </w:p>
        </w:tc>
      </w:tr>
      <w:tr w14:paraId="60839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5" w:type="dxa"/>
            <w:vAlign w:val="center"/>
          </w:tcPr>
          <w:p w14:paraId="463A9E8B">
            <w:pPr>
              <w:spacing w:line="240" w:lineRule="auto"/>
              <w:ind w:firstLine="0" w:firstLineChars="0"/>
              <w:jc w:val="center"/>
              <w:rPr>
                <w:rFonts w:hint="eastAsia" w:ascii="仿宋_GB2312" w:hAnsi="宋体" w:cs="Times New Roman"/>
                <w:sz w:val="24"/>
                <w:szCs w:val="24"/>
              </w:rPr>
            </w:pPr>
            <w:r>
              <w:rPr>
                <w:rFonts w:hint="eastAsia" w:ascii="仿宋_GB2312" w:hAnsi="宋体" w:cs="Times New Roman"/>
                <w:sz w:val="24"/>
                <w:szCs w:val="24"/>
              </w:rPr>
              <w:t>6</w:t>
            </w:r>
          </w:p>
        </w:tc>
        <w:tc>
          <w:tcPr>
            <w:tcW w:w="1010" w:type="dxa"/>
            <w:vAlign w:val="center"/>
          </w:tcPr>
          <w:p w14:paraId="5919F81A">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吴绍忠</w:t>
            </w:r>
          </w:p>
        </w:tc>
        <w:tc>
          <w:tcPr>
            <w:tcW w:w="2871" w:type="dxa"/>
            <w:vAlign w:val="center"/>
          </w:tcPr>
          <w:p w14:paraId="66CFD622">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大连天赖安全风险管理技术有限公司</w:t>
            </w:r>
          </w:p>
        </w:tc>
        <w:tc>
          <w:tcPr>
            <w:tcW w:w="1804" w:type="dxa"/>
            <w:vAlign w:val="center"/>
          </w:tcPr>
          <w:p w14:paraId="2075DDA9">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rPr>
              <w:t>高级工程师</w:t>
            </w:r>
          </w:p>
        </w:tc>
        <w:tc>
          <w:tcPr>
            <w:tcW w:w="2187" w:type="dxa"/>
            <w:vAlign w:val="center"/>
          </w:tcPr>
          <w:p w14:paraId="24410306">
            <w:pPr>
              <w:spacing w:line="240" w:lineRule="atLeast"/>
              <w:ind w:left="0" w:leftChars="0" w:firstLine="0" w:firstLineChars="0"/>
              <w:jc w:val="left"/>
              <w:rPr>
                <w:rFonts w:hint="eastAsia" w:ascii="仿宋_GB2312" w:hAnsi="仿宋_GB2312" w:eastAsia="仿宋_GB2312" w:cs="仿宋_GB2312"/>
                <w:sz w:val="24"/>
                <w:szCs w:val="24"/>
              </w:rPr>
            </w:pPr>
            <w:r>
              <w:rPr>
                <w:rStyle w:val="21"/>
                <w:rFonts w:hint="eastAsia" w:ascii="仿宋_GB2312" w:hAnsi="仿宋_GB2312" w:eastAsia="仿宋_GB2312" w:cs="仿宋_GB2312"/>
                <w:color w:val="auto"/>
                <w:sz w:val="24"/>
                <w:szCs w:val="24"/>
              </w:rPr>
              <w:t>标准起草</w:t>
            </w:r>
            <w:r>
              <w:rPr>
                <w:rFonts w:hint="eastAsia" w:ascii="仿宋_GB2312" w:hAnsi="仿宋_GB2312" w:eastAsia="仿宋_GB2312" w:cs="仿宋_GB2312"/>
                <w:sz w:val="24"/>
                <w:szCs w:val="24"/>
              </w:rPr>
              <w:t>、标准修</w:t>
            </w:r>
            <w:r>
              <w:rPr>
                <w:rFonts w:hint="eastAsia" w:ascii="仿宋_GB2312" w:hAnsi="仿宋_GB2312" w:cs="仿宋_GB2312"/>
                <w:sz w:val="24"/>
                <w:szCs w:val="24"/>
                <w:lang w:val="en-US" w:eastAsia="zh-CN"/>
              </w:rPr>
              <w:t>改</w:t>
            </w:r>
            <w:r>
              <w:rPr>
                <w:rFonts w:hint="eastAsia" w:ascii="仿宋_GB2312" w:hAnsi="仿宋_GB2312" w:eastAsia="仿宋_GB2312" w:cs="仿宋_GB2312"/>
                <w:sz w:val="24"/>
                <w:szCs w:val="24"/>
              </w:rPr>
              <w:t>、组织和协调等工作</w:t>
            </w:r>
          </w:p>
        </w:tc>
      </w:tr>
      <w:tr w14:paraId="3603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5" w:type="dxa"/>
            <w:vAlign w:val="center"/>
          </w:tcPr>
          <w:p w14:paraId="2D9B5C2E">
            <w:pPr>
              <w:spacing w:line="240" w:lineRule="auto"/>
              <w:ind w:firstLine="0" w:firstLineChars="0"/>
              <w:jc w:val="center"/>
              <w:rPr>
                <w:rFonts w:hint="eastAsia" w:ascii="仿宋_GB2312" w:hAnsi="宋体" w:eastAsia="仿宋_GB2312" w:cs="Times New Roman"/>
                <w:sz w:val="24"/>
                <w:szCs w:val="24"/>
                <w:lang w:val="en-US" w:eastAsia="zh-CN"/>
              </w:rPr>
            </w:pPr>
            <w:r>
              <w:rPr>
                <w:rFonts w:hint="eastAsia" w:ascii="仿宋_GB2312" w:hAnsi="宋体" w:cs="Times New Roman"/>
                <w:sz w:val="24"/>
                <w:szCs w:val="24"/>
                <w:lang w:val="en-US" w:eastAsia="zh-CN"/>
              </w:rPr>
              <w:t>7</w:t>
            </w:r>
          </w:p>
        </w:tc>
        <w:tc>
          <w:tcPr>
            <w:tcW w:w="1010" w:type="dxa"/>
            <w:vAlign w:val="center"/>
          </w:tcPr>
          <w:p w14:paraId="1770726F">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韩立祺</w:t>
            </w:r>
          </w:p>
        </w:tc>
        <w:tc>
          <w:tcPr>
            <w:tcW w:w="2871" w:type="dxa"/>
            <w:vAlign w:val="center"/>
          </w:tcPr>
          <w:p w14:paraId="2B3D2346">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大连天赖安全风险管理技术有限公司</w:t>
            </w:r>
          </w:p>
        </w:tc>
        <w:tc>
          <w:tcPr>
            <w:tcW w:w="1804" w:type="dxa"/>
            <w:vAlign w:val="center"/>
          </w:tcPr>
          <w:p w14:paraId="551B1806">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工程师</w:t>
            </w:r>
          </w:p>
        </w:tc>
        <w:tc>
          <w:tcPr>
            <w:tcW w:w="2187" w:type="dxa"/>
            <w:vAlign w:val="center"/>
          </w:tcPr>
          <w:p w14:paraId="15AD6950">
            <w:pPr>
              <w:spacing w:line="180" w:lineRule="atLeast"/>
              <w:ind w:left="0" w:leftChars="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负责标准起草工作中</w:t>
            </w:r>
            <w:r>
              <w:rPr>
                <w:rFonts w:hint="eastAsia" w:ascii="仿宋_GB2312" w:hAnsi="仿宋_GB2312" w:eastAsia="仿宋_GB2312" w:cs="仿宋_GB2312"/>
                <w:sz w:val="24"/>
                <w:szCs w:val="24"/>
                <w:lang w:val="en-US" w:eastAsia="zh-CN"/>
              </w:rPr>
              <w:t>部分</w:t>
            </w:r>
            <w:r>
              <w:rPr>
                <w:rFonts w:hint="eastAsia" w:ascii="仿宋_GB2312" w:hAnsi="仿宋_GB2312" w:eastAsia="仿宋_GB2312" w:cs="仿宋_GB2312"/>
                <w:sz w:val="24"/>
                <w:szCs w:val="24"/>
              </w:rPr>
              <w:t>技术的确定以及专家反馈意见的分析工作</w:t>
            </w:r>
          </w:p>
        </w:tc>
      </w:tr>
      <w:tr w14:paraId="01C4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5" w:type="dxa"/>
            <w:vAlign w:val="center"/>
          </w:tcPr>
          <w:p w14:paraId="0D37DEFB">
            <w:pPr>
              <w:spacing w:line="240" w:lineRule="auto"/>
              <w:ind w:firstLine="0" w:firstLineChars="0"/>
              <w:jc w:val="center"/>
              <w:rPr>
                <w:rFonts w:hint="eastAsia" w:ascii="仿宋_GB2312" w:hAnsi="宋体" w:eastAsia="仿宋_GB2312" w:cs="Times New Roman"/>
                <w:sz w:val="24"/>
                <w:szCs w:val="24"/>
                <w:lang w:val="en-US" w:eastAsia="zh-CN"/>
              </w:rPr>
            </w:pPr>
            <w:r>
              <w:rPr>
                <w:rFonts w:hint="eastAsia" w:ascii="仿宋_GB2312" w:hAnsi="宋体" w:cs="Times New Roman"/>
                <w:sz w:val="24"/>
                <w:szCs w:val="24"/>
                <w:lang w:val="en-US" w:eastAsia="zh-CN"/>
              </w:rPr>
              <w:t>8</w:t>
            </w:r>
          </w:p>
        </w:tc>
        <w:tc>
          <w:tcPr>
            <w:tcW w:w="1010" w:type="dxa"/>
            <w:vAlign w:val="center"/>
          </w:tcPr>
          <w:p w14:paraId="5801CDB7">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杨建功</w:t>
            </w:r>
          </w:p>
        </w:tc>
        <w:tc>
          <w:tcPr>
            <w:tcW w:w="2871" w:type="dxa"/>
            <w:vAlign w:val="center"/>
          </w:tcPr>
          <w:p w14:paraId="72C1434B">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大连文化旅游发展集团有限公司</w:t>
            </w:r>
          </w:p>
        </w:tc>
        <w:tc>
          <w:tcPr>
            <w:tcW w:w="1804" w:type="dxa"/>
            <w:vAlign w:val="center"/>
          </w:tcPr>
          <w:p w14:paraId="73FB5598">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工程师</w:t>
            </w:r>
          </w:p>
        </w:tc>
        <w:tc>
          <w:tcPr>
            <w:tcW w:w="2187" w:type="dxa"/>
            <w:vAlign w:val="center"/>
          </w:tcPr>
          <w:p w14:paraId="5DE88FAE">
            <w:pPr>
              <w:spacing w:line="180" w:lineRule="atLeast"/>
              <w:ind w:left="0" w:leftChars="0" w:firstLine="0" w:firstLineChars="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全面组织统筹协调</w:t>
            </w:r>
            <w:r>
              <w:rPr>
                <w:rFonts w:hint="eastAsia" w:ascii="仿宋_GB2312" w:hAnsi="仿宋_GB2312" w:eastAsia="仿宋_GB2312" w:cs="仿宋_GB2312"/>
                <w:sz w:val="24"/>
                <w:szCs w:val="24"/>
                <w:lang w:val="en-US" w:eastAsia="zh-CN"/>
              </w:rPr>
              <w:t>水上运输码头</w:t>
            </w:r>
            <w:r>
              <w:rPr>
                <w:rFonts w:hint="eastAsia" w:ascii="仿宋_GB2312" w:hAnsi="仿宋_GB2312" w:eastAsia="仿宋_GB2312" w:cs="仿宋_GB2312"/>
                <w:sz w:val="24"/>
                <w:szCs w:val="24"/>
              </w:rPr>
              <w:t>调研工作</w:t>
            </w:r>
          </w:p>
        </w:tc>
      </w:tr>
      <w:tr w14:paraId="5BD2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5" w:type="dxa"/>
            <w:vAlign w:val="center"/>
          </w:tcPr>
          <w:p w14:paraId="443E8753">
            <w:pPr>
              <w:spacing w:line="240" w:lineRule="auto"/>
              <w:ind w:firstLine="0" w:firstLineChars="0"/>
              <w:jc w:val="center"/>
              <w:rPr>
                <w:rFonts w:hint="eastAsia" w:ascii="仿宋_GB2312" w:hAnsi="宋体" w:eastAsia="仿宋_GB2312" w:cs="Times New Roman"/>
                <w:sz w:val="24"/>
                <w:szCs w:val="24"/>
                <w:lang w:val="en-US" w:eastAsia="zh-CN"/>
              </w:rPr>
            </w:pPr>
            <w:r>
              <w:rPr>
                <w:rFonts w:hint="eastAsia" w:ascii="仿宋_GB2312" w:hAnsi="宋体" w:cs="Times New Roman"/>
                <w:sz w:val="24"/>
                <w:szCs w:val="24"/>
                <w:lang w:val="en-US" w:eastAsia="zh-CN"/>
              </w:rPr>
              <w:t>9</w:t>
            </w:r>
          </w:p>
        </w:tc>
        <w:tc>
          <w:tcPr>
            <w:tcW w:w="1010" w:type="dxa"/>
            <w:vAlign w:val="center"/>
          </w:tcPr>
          <w:p w14:paraId="6E36B1A7">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王凯民</w:t>
            </w:r>
          </w:p>
        </w:tc>
        <w:tc>
          <w:tcPr>
            <w:tcW w:w="2871" w:type="dxa"/>
            <w:vAlign w:val="center"/>
          </w:tcPr>
          <w:p w14:paraId="7DD4114F">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大连市交通和航运物流发展服务中心</w:t>
            </w:r>
          </w:p>
        </w:tc>
        <w:tc>
          <w:tcPr>
            <w:tcW w:w="1804" w:type="dxa"/>
            <w:vAlign w:val="center"/>
          </w:tcPr>
          <w:p w14:paraId="65B9F279">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高级工程师</w:t>
            </w:r>
          </w:p>
        </w:tc>
        <w:tc>
          <w:tcPr>
            <w:tcW w:w="2187" w:type="dxa"/>
            <w:vAlign w:val="center"/>
          </w:tcPr>
          <w:p w14:paraId="72F1BD60">
            <w:pPr>
              <w:spacing w:line="240" w:lineRule="auto"/>
              <w:ind w:firstLine="0" w:firstLineChars="0"/>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负责相关法规、标准、行业调研资料的收集</w:t>
            </w:r>
          </w:p>
        </w:tc>
      </w:tr>
      <w:tr w14:paraId="6A041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5" w:type="dxa"/>
            <w:vAlign w:val="center"/>
          </w:tcPr>
          <w:p w14:paraId="450B1767">
            <w:pPr>
              <w:spacing w:line="240" w:lineRule="auto"/>
              <w:ind w:firstLine="0" w:firstLineChars="0"/>
              <w:jc w:val="center"/>
              <w:rPr>
                <w:rFonts w:hint="default" w:ascii="仿宋_GB2312" w:hAnsi="宋体" w:eastAsia="仿宋_GB2312" w:cs="Times New Roman"/>
                <w:sz w:val="24"/>
                <w:szCs w:val="24"/>
                <w:lang w:val="en-US" w:eastAsia="zh-CN"/>
              </w:rPr>
            </w:pPr>
            <w:r>
              <w:rPr>
                <w:rFonts w:hint="eastAsia" w:ascii="仿宋_GB2312" w:hAnsi="宋体" w:cs="Times New Roman"/>
                <w:sz w:val="24"/>
                <w:szCs w:val="24"/>
                <w:lang w:val="en-US" w:eastAsia="zh-CN"/>
              </w:rPr>
              <w:t>10</w:t>
            </w:r>
          </w:p>
        </w:tc>
        <w:tc>
          <w:tcPr>
            <w:tcW w:w="1010" w:type="dxa"/>
            <w:vAlign w:val="center"/>
          </w:tcPr>
          <w:p w14:paraId="7301B621">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李策</w:t>
            </w:r>
          </w:p>
        </w:tc>
        <w:tc>
          <w:tcPr>
            <w:tcW w:w="2871" w:type="dxa"/>
            <w:vAlign w:val="center"/>
          </w:tcPr>
          <w:p w14:paraId="5610C63A">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大连港口设计研究院有限公司</w:t>
            </w:r>
          </w:p>
        </w:tc>
        <w:tc>
          <w:tcPr>
            <w:tcW w:w="1804" w:type="dxa"/>
            <w:vAlign w:val="center"/>
          </w:tcPr>
          <w:p w14:paraId="4D72B730">
            <w:pPr>
              <w:spacing w:line="240" w:lineRule="auto"/>
              <w:ind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工程师</w:t>
            </w:r>
          </w:p>
        </w:tc>
        <w:tc>
          <w:tcPr>
            <w:tcW w:w="2187" w:type="dxa"/>
            <w:vAlign w:val="center"/>
          </w:tcPr>
          <w:p w14:paraId="1228EA7C">
            <w:pPr>
              <w:spacing w:line="240" w:lineRule="auto"/>
              <w:ind w:firstLine="0" w:firstLine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标准起草工作</w:t>
            </w:r>
          </w:p>
        </w:tc>
      </w:tr>
      <w:tr w14:paraId="7CC8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5" w:type="dxa"/>
            <w:vAlign w:val="center"/>
          </w:tcPr>
          <w:p w14:paraId="622CD095">
            <w:pPr>
              <w:spacing w:line="240" w:lineRule="auto"/>
              <w:ind w:firstLine="0" w:firstLineChars="0"/>
              <w:jc w:val="center"/>
              <w:rPr>
                <w:rFonts w:hint="default" w:ascii="仿宋_GB2312" w:hAnsi="宋体" w:eastAsia="仿宋_GB2312" w:cs="Times New Roman"/>
                <w:sz w:val="24"/>
                <w:szCs w:val="24"/>
                <w:lang w:val="en-US" w:eastAsia="zh-CN"/>
              </w:rPr>
            </w:pPr>
            <w:r>
              <w:rPr>
                <w:rFonts w:hint="eastAsia" w:ascii="仿宋_GB2312" w:hAnsi="宋体" w:cs="Times New Roman"/>
                <w:sz w:val="24"/>
                <w:szCs w:val="24"/>
                <w:lang w:val="en-US" w:eastAsia="zh-CN"/>
              </w:rPr>
              <w:t>11</w:t>
            </w:r>
          </w:p>
        </w:tc>
        <w:tc>
          <w:tcPr>
            <w:tcW w:w="1010" w:type="dxa"/>
            <w:vAlign w:val="center"/>
          </w:tcPr>
          <w:p w14:paraId="1E71B659">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徐慧</w:t>
            </w:r>
          </w:p>
        </w:tc>
        <w:tc>
          <w:tcPr>
            <w:tcW w:w="2871" w:type="dxa"/>
            <w:vAlign w:val="center"/>
          </w:tcPr>
          <w:p w14:paraId="575F32FD">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大连标准认证研究院有限公司</w:t>
            </w:r>
          </w:p>
        </w:tc>
        <w:tc>
          <w:tcPr>
            <w:tcW w:w="1804" w:type="dxa"/>
            <w:vAlign w:val="center"/>
          </w:tcPr>
          <w:p w14:paraId="760FD9D2">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工程师</w:t>
            </w:r>
          </w:p>
        </w:tc>
        <w:tc>
          <w:tcPr>
            <w:tcW w:w="2187" w:type="dxa"/>
            <w:vAlign w:val="center"/>
          </w:tcPr>
          <w:p w14:paraId="5CFC0A1B">
            <w:pPr>
              <w:spacing w:line="240" w:lineRule="auto"/>
              <w:ind w:firstLine="0" w:firstLineChars="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负责资料收集整理</w:t>
            </w:r>
            <w:r>
              <w:rPr>
                <w:rFonts w:hint="eastAsia" w:ascii="仿宋_GB2312" w:hAnsi="仿宋_GB2312" w:cs="仿宋_GB2312"/>
                <w:sz w:val="24"/>
                <w:szCs w:val="24"/>
                <w:lang w:val="en-US" w:eastAsia="zh-CN"/>
              </w:rPr>
              <w:t>，</w:t>
            </w:r>
            <w:r>
              <w:rPr>
                <w:rFonts w:hint="eastAsia" w:ascii="仿宋_GB2312" w:hAnsi="仿宋_GB2312" w:eastAsia="仿宋_GB2312" w:cs="仿宋_GB2312"/>
                <w:sz w:val="24"/>
                <w:szCs w:val="24"/>
                <w:lang w:val="en-US" w:eastAsia="zh-CN"/>
              </w:rPr>
              <w:t>协助标准制定</w:t>
            </w:r>
          </w:p>
        </w:tc>
      </w:tr>
      <w:tr w14:paraId="66DBE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5" w:type="dxa"/>
            <w:vAlign w:val="center"/>
          </w:tcPr>
          <w:p w14:paraId="4EDBF87C">
            <w:pPr>
              <w:spacing w:line="240" w:lineRule="auto"/>
              <w:ind w:firstLine="0" w:firstLineChars="0"/>
              <w:jc w:val="center"/>
              <w:rPr>
                <w:rFonts w:hint="default" w:ascii="仿宋_GB2312" w:hAnsi="宋体" w:eastAsia="仿宋_GB2312" w:cs="Times New Roman"/>
                <w:sz w:val="24"/>
                <w:szCs w:val="24"/>
                <w:lang w:val="en-US" w:eastAsia="zh-CN"/>
              </w:rPr>
            </w:pPr>
            <w:r>
              <w:rPr>
                <w:rFonts w:hint="eastAsia" w:ascii="仿宋_GB2312" w:hAnsi="宋体" w:cs="Times New Roman"/>
                <w:sz w:val="24"/>
                <w:szCs w:val="24"/>
                <w:lang w:val="en-US" w:eastAsia="zh-CN"/>
              </w:rPr>
              <w:t>12</w:t>
            </w:r>
          </w:p>
        </w:tc>
        <w:tc>
          <w:tcPr>
            <w:tcW w:w="1010" w:type="dxa"/>
            <w:vAlign w:val="center"/>
          </w:tcPr>
          <w:p w14:paraId="6487F6C0">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赵明辉</w:t>
            </w:r>
          </w:p>
        </w:tc>
        <w:tc>
          <w:tcPr>
            <w:tcW w:w="2871" w:type="dxa"/>
            <w:vAlign w:val="center"/>
          </w:tcPr>
          <w:p w14:paraId="73F72033">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大连文化旅游发展集团有限公司</w:t>
            </w:r>
          </w:p>
        </w:tc>
        <w:tc>
          <w:tcPr>
            <w:tcW w:w="1804" w:type="dxa"/>
            <w:vAlign w:val="center"/>
          </w:tcPr>
          <w:p w14:paraId="790C4D97">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工程师</w:t>
            </w:r>
          </w:p>
        </w:tc>
        <w:tc>
          <w:tcPr>
            <w:tcW w:w="2187" w:type="dxa"/>
            <w:vAlign w:val="center"/>
          </w:tcPr>
          <w:p w14:paraId="7A4481E6">
            <w:pPr>
              <w:spacing w:line="240" w:lineRule="auto"/>
              <w:ind w:firstLine="0" w:firstLineChars="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标准调研与讨论工作</w:t>
            </w:r>
          </w:p>
        </w:tc>
      </w:tr>
      <w:tr w14:paraId="6CEFC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5" w:type="dxa"/>
            <w:vAlign w:val="center"/>
          </w:tcPr>
          <w:p w14:paraId="5A595E80">
            <w:pPr>
              <w:spacing w:line="240" w:lineRule="auto"/>
              <w:ind w:firstLine="0" w:firstLineChars="0"/>
              <w:jc w:val="center"/>
              <w:rPr>
                <w:rFonts w:hint="default" w:ascii="仿宋_GB2312" w:hAnsi="宋体" w:eastAsia="仿宋_GB2312" w:cs="Times New Roman"/>
                <w:sz w:val="24"/>
                <w:szCs w:val="24"/>
                <w:lang w:val="en-US" w:eastAsia="zh-CN"/>
              </w:rPr>
            </w:pPr>
            <w:r>
              <w:rPr>
                <w:rFonts w:hint="eastAsia" w:ascii="仿宋_GB2312" w:hAnsi="宋体" w:cs="Times New Roman"/>
                <w:sz w:val="24"/>
                <w:szCs w:val="24"/>
                <w:lang w:val="en-US" w:eastAsia="zh-CN"/>
              </w:rPr>
              <w:t>13</w:t>
            </w:r>
          </w:p>
        </w:tc>
        <w:tc>
          <w:tcPr>
            <w:tcW w:w="1010" w:type="dxa"/>
            <w:vAlign w:val="center"/>
          </w:tcPr>
          <w:p w14:paraId="43AF2E72">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王嘉琪</w:t>
            </w:r>
          </w:p>
        </w:tc>
        <w:tc>
          <w:tcPr>
            <w:tcW w:w="2871" w:type="dxa"/>
            <w:vAlign w:val="center"/>
          </w:tcPr>
          <w:p w14:paraId="0D0073E3">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辽宁省交通运输事务服务中心</w:t>
            </w:r>
          </w:p>
        </w:tc>
        <w:tc>
          <w:tcPr>
            <w:tcW w:w="1804" w:type="dxa"/>
            <w:vAlign w:val="center"/>
          </w:tcPr>
          <w:p w14:paraId="0CDA5AA2">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高级工程师</w:t>
            </w:r>
          </w:p>
        </w:tc>
        <w:tc>
          <w:tcPr>
            <w:tcW w:w="2187" w:type="dxa"/>
            <w:vAlign w:val="center"/>
          </w:tcPr>
          <w:p w14:paraId="358CABA8">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标准起草工作</w:t>
            </w:r>
          </w:p>
        </w:tc>
      </w:tr>
      <w:tr w14:paraId="60B5C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5" w:type="dxa"/>
            <w:vAlign w:val="center"/>
          </w:tcPr>
          <w:p w14:paraId="2880F8FB">
            <w:pPr>
              <w:spacing w:line="240" w:lineRule="auto"/>
              <w:ind w:firstLine="0" w:firstLineChars="0"/>
              <w:jc w:val="center"/>
              <w:rPr>
                <w:rFonts w:hint="default" w:ascii="仿宋_GB2312" w:hAnsi="宋体" w:eastAsia="仿宋_GB2312" w:cs="Times New Roman"/>
                <w:sz w:val="24"/>
                <w:szCs w:val="24"/>
                <w:lang w:val="en-US" w:eastAsia="zh-CN"/>
              </w:rPr>
            </w:pPr>
            <w:r>
              <w:rPr>
                <w:rFonts w:hint="eastAsia" w:ascii="仿宋_GB2312" w:hAnsi="宋体" w:cs="Times New Roman"/>
                <w:sz w:val="24"/>
                <w:szCs w:val="24"/>
                <w:lang w:val="en-US" w:eastAsia="zh-CN"/>
              </w:rPr>
              <w:t>14</w:t>
            </w:r>
          </w:p>
        </w:tc>
        <w:tc>
          <w:tcPr>
            <w:tcW w:w="1010" w:type="dxa"/>
            <w:vAlign w:val="center"/>
          </w:tcPr>
          <w:p w14:paraId="62C54791">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张颢</w:t>
            </w:r>
          </w:p>
        </w:tc>
        <w:tc>
          <w:tcPr>
            <w:tcW w:w="2871" w:type="dxa"/>
            <w:vAlign w:val="center"/>
          </w:tcPr>
          <w:p w14:paraId="2A69E2D9">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辽宁省交通运输事务服务中心</w:t>
            </w:r>
          </w:p>
        </w:tc>
        <w:tc>
          <w:tcPr>
            <w:tcW w:w="1804" w:type="dxa"/>
            <w:vAlign w:val="center"/>
          </w:tcPr>
          <w:p w14:paraId="41114833">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高级工程师</w:t>
            </w:r>
          </w:p>
        </w:tc>
        <w:tc>
          <w:tcPr>
            <w:tcW w:w="2187" w:type="dxa"/>
            <w:vAlign w:val="center"/>
          </w:tcPr>
          <w:p w14:paraId="7DD41F94">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标准起草工作</w:t>
            </w:r>
          </w:p>
        </w:tc>
      </w:tr>
      <w:tr w14:paraId="04A5C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5" w:type="dxa"/>
            <w:vAlign w:val="center"/>
          </w:tcPr>
          <w:p w14:paraId="6A6ABB66">
            <w:pPr>
              <w:spacing w:line="240" w:lineRule="auto"/>
              <w:ind w:firstLine="0" w:firstLineChars="0"/>
              <w:jc w:val="center"/>
              <w:rPr>
                <w:rFonts w:hint="default" w:ascii="仿宋_GB2312" w:hAnsi="宋体" w:cs="Times New Roman"/>
                <w:sz w:val="24"/>
                <w:szCs w:val="24"/>
                <w:lang w:val="en-US" w:eastAsia="zh-CN"/>
              </w:rPr>
            </w:pPr>
            <w:r>
              <w:rPr>
                <w:rFonts w:hint="eastAsia" w:ascii="仿宋_GB2312" w:hAnsi="宋体" w:cs="Times New Roman"/>
                <w:sz w:val="24"/>
                <w:szCs w:val="24"/>
                <w:lang w:val="en-US" w:eastAsia="zh-CN"/>
              </w:rPr>
              <w:t>15</w:t>
            </w:r>
          </w:p>
        </w:tc>
        <w:tc>
          <w:tcPr>
            <w:tcW w:w="1010" w:type="dxa"/>
            <w:vAlign w:val="center"/>
          </w:tcPr>
          <w:p w14:paraId="256C079B">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黄军侠</w:t>
            </w:r>
          </w:p>
        </w:tc>
        <w:tc>
          <w:tcPr>
            <w:tcW w:w="2871" w:type="dxa"/>
            <w:vAlign w:val="center"/>
          </w:tcPr>
          <w:p w14:paraId="624F5FDF">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大连港口设计研究院有限公司</w:t>
            </w:r>
          </w:p>
        </w:tc>
        <w:tc>
          <w:tcPr>
            <w:tcW w:w="1804" w:type="dxa"/>
            <w:vAlign w:val="center"/>
          </w:tcPr>
          <w:p w14:paraId="175BDAF9">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高级工程师</w:t>
            </w:r>
          </w:p>
        </w:tc>
        <w:tc>
          <w:tcPr>
            <w:tcW w:w="2187" w:type="dxa"/>
            <w:vAlign w:val="center"/>
          </w:tcPr>
          <w:p w14:paraId="4DCAADE9">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标准起草工作</w:t>
            </w:r>
          </w:p>
        </w:tc>
      </w:tr>
      <w:tr w14:paraId="59BDD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5" w:type="dxa"/>
            <w:vAlign w:val="center"/>
          </w:tcPr>
          <w:p w14:paraId="260397B9">
            <w:pPr>
              <w:spacing w:line="240" w:lineRule="auto"/>
              <w:ind w:firstLine="0" w:firstLineChars="0"/>
              <w:jc w:val="center"/>
              <w:rPr>
                <w:rFonts w:hint="default" w:ascii="仿宋_GB2312" w:hAnsi="宋体" w:cs="Times New Roman"/>
                <w:sz w:val="24"/>
                <w:szCs w:val="24"/>
                <w:lang w:val="en-US" w:eastAsia="zh-CN"/>
              </w:rPr>
            </w:pPr>
            <w:r>
              <w:rPr>
                <w:rFonts w:hint="eastAsia" w:ascii="仿宋_GB2312" w:hAnsi="宋体" w:cs="Times New Roman"/>
                <w:sz w:val="24"/>
                <w:szCs w:val="24"/>
                <w:lang w:val="en-US" w:eastAsia="zh-CN"/>
              </w:rPr>
              <w:t>16</w:t>
            </w:r>
          </w:p>
        </w:tc>
        <w:tc>
          <w:tcPr>
            <w:tcW w:w="1010" w:type="dxa"/>
            <w:vAlign w:val="center"/>
          </w:tcPr>
          <w:p w14:paraId="291017F3">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孙玉华</w:t>
            </w:r>
          </w:p>
        </w:tc>
        <w:tc>
          <w:tcPr>
            <w:tcW w:w="2871" w:type="dxa"/>
            <w:vAlign w:val="center"/>
          </w:tcPr>
          <w:p w14:paraId="59D6E0EC">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大连港口设计研究院有限公司</w:t>
            </w:r>
          </w:p>
        </w:tc>
        <w:tc>
          <w:tcPr>
            <w:tcW w:w="1804" w:type="dxa"/>
            <w:vAlign w:val="center"/>
          </w:tcPr>
          <w:p w14:paraId="4E4D729E">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高级工程师</w:t>
            </w:r>
          </w:p>
        </w:tc>
        <w:tc>
          <w:tcPr>
            <w:tcW w:w="2187" w:type="dxa"/>
            <w:vAlign w:val="center"/>
          </w:tcPr>
          <w:p w14:paraId="170D9D5E">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标准起草工作</w:t>
            </w:r>
          </w:p>
        </w:tc>
      </w:tr>
      <w:tr w14:paraId="01353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5" w:type="dxa"/>
            <w:vAlign w:val="center"/>
          </w:tcPr>
          <w:p w14:paraId="2CBE8722">
            <w:pPr>
              <w:spacing w:line="240" w:lineRule="auto"/>
              <w:ind w:firstLine="0" w:firstLineChars="0"/>
              <w:jc w:val="center"/>
              <w:rPr>
                <w:rFonts w:hint="default" w:ascii="仿宋_GB2312" w:hAnsi="宋体" w:cs="Times New Roman"/>
                <w:sz w:val="24"/>
                <w:szCs w:val="24"/>
                <w:lang w:val="en-US" w:eastAsia="zh-CN"/>
              </w:rPr>
            </w:pPr>
            <w:r>
              <w:rPr>
                <w:rFonts w:hint="eastAsia" w:ascii="仿宋_GB2312" w:hAnsi="宋体" w:cs="Times New Roman"/>
                <w:sz w:val="24"/>
                <w:szCs w:val="24"/>
                <w:lang w:val="en-US" w:eastAsia="zh-CN"/>
              </w:rPr>
              <w:t>17</w:t>
            </w:r>
          </w:p>
        </w:tc>
        <w:tc>
          <w:tcPr>
            <w:tcW w:w="1010" w:type="dxa"/>
            <w:vAlign w:val="center"/>
          </w:tcPr>
          <w:p w14:paraId="0251D470">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栾强</w:t>
            </w:r>
          </w:p>
        </w:tc>
        <w:tc>
          <w:tcPr>
            <w:tcW w:w="2871" w:type="dxa"/>
            <w:vAlign w:val="center"/>
          </w:tcPr>
          <w:p w14:paraId="61C4145E">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大连港口设计研究院有限公司</w:t>
            </w:r>
          </w:p>
        </w:tc>
        <w:tc>
          <w:tcPr>
            <w:tcW w:w="1804" w:type="dxa"/>
            <w:vAlign w:val="center"/>
          </w:tcPr>
          <w:p w14:paraId="4AEE7170">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高级工程师</w:t>
            </w:r>
          </w:p>
        </w:tc>
        <w:tc>
          <w:tcPr>
            <w:tcW w:w="2187" w:type="dxa"/>
            <w:vAlign w:val="center"/>
          </w:tcPr>
          <w:p w14:paraId="603C165A">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标准起草工作</w:t>
            </w:r>
          </w:p>
        </w:tc>
      </w:tr>
      <w:tr w14:paraId="6F8D6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5" w:type="dxa"/>
            <w:vAlign w:val="center"/>
          </w:tcPr>
          <w:p w14:paraId="17F3AB8B">
            <w:pPr>
              <w:spacing w:line="240" w:lineRule="auto"/>
              <w:ind w:firstLine="0" w:firstLineChars="0"/>
              <w:jc w:val="center"/>
              <w:rPr>
                <w:rFonts w:hint="default" w:ascii="仿宋_GB2312" w:hAnsi="宋体" w:cs="Times New Roman"/>
                <w:sz w:val="24"/>
                <w:szCs w:val="24"/>
                <w:lang w:val="en-US" w:eastAsia="zh-CN"/>
              </w:rPr>
            </w:pPr>
            <w:r>
              <w:rPr>
                <w:rFonts w:hint="eastAsia" w:ascii="仿宋_GB2312" w:hAnsi="宋体" w:cs="Times New Roman"/>
                <w:sz w:val="24"/>
                <w:szCs w:val="24"/>
                <w:lang w:val="en-US" w:eastAsia="zh-CN"/>
              </w:rPr>
              <w:t>18</w:t>
            </w:r>
          </w:p>
        </w:tc>
        <w:tc>
          <w:tcPr>
            <w:tcW w:w="1010" w:type="dxa"/>
            <w:vAlign w:val="center"/>
          </w:tcPr>
          <w:p w14:paraId="06DEB82D">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张梓澳</w:t>
            </w:r>
          </w:p>
        </w:tc>
        <w:tc>
          <w:tcPr>
            <w:tcW w:w="2871" w:type="dxa"/>
            <w:vAlign w:val="center"/>
          </w:tcPr>
          <w:p w14:paraId="4ECDF675">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大连港口设计研究院有限公司</w:t>
            </w:r>
          </w:p>
        </w:tc>
        <w:tc>
          <w:tcPr>
            <w:tcW w:w="1804" w:type="dxa"/>
            <w:vAlign w:val="center"/>
          </w:tcPr>
          <w:p w14:paraId="76BDE74E">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高级工程师</w:t>
            </w:r>
          </w:p>
        </w:tc>
        <w:tc>
          <w:tcPr>
            <w:tcW w:w="2187" w:type="dxa"/>
            <w:vAlign w:val="center"/>
          </w:tcPr>
          <w:p w14:paraId="1CB72DF8">
            <w:pPr>
              <w:spacing w:line="240" w:lineRule="auto"/>
              <w:ind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标准起草工作</w:t>
            </w:r>
          </w:p>
        </w:tc>
      </w:tr>
    </w:tbl>
    <w:p w14:paraId="4D7A8F5D">
      <w:pPr>
        <w:spacing w:line="240" w:lineRule="auto"/>
        <w:ind w:firstLine="0" w:firstLineChars="0"/>
        <w:jc w:val="center"/>
        <w:rPr>
          <w:rFonts w:hint="eastAsia" w:ascii="仿宋_GB2312" w:hAnsi="宋体" w:cs="Times New Roman"/>
          <w:sz w:val="24"/>
          <w:szCs w:val="24"/>
        </w:rPr>
      </w:pPr>
    </w:p>
    <w:p w14:paraId="271E6E6E">
      <w:pPr>
        <w:spacing w:line="240" w:lineRule="auto"/>
        <w:ind w:firstLine="0" w:firstLineChars="0"/>
        <w:jc w:val="center"/>
        <w:rPr>
          <w:rFonts w:hint="eastAsia" w:ascii="仿宋_GB2312" w:hAnsi="宋体" w:cs="Times New Roman"/>
          <w:sz w:val="24"/>
          <w:szCs w:val="24"/>
        </w:rPr>
      </w:pPr>
    </w:p>
    <w:p w14:paraId="72B91582">
      <w:pPr>
        <w:numPr>
          <w:ilvl w:val="0"/>
          <w:numId w:val="3"/>
        </w:numPr>
        <w:ind w:firstLine="321" w:firstLineChars="100"/>
        <w:rPr>
          <w:rFonts w:ascii="方正仿宋_GB2312" w:hAnsi="方正仿宋_GB2312" w:eastAsia="方正仿宋_GB2312" w:cs="方正仿宋_GB2312"/>
          <w:b/>
          <w:bCs/>
          <w:szCs w:val="32"/>
        </w:rPr>
      </w:pPr>
      <w:r>
        <w:rPr>
          <w:rFonts w:hint="eastAsia" w:ascii="方正仿宋_GB2312" w:hAnsi="方正仿宋_GB2312" w:eastAsia="方正仿宋_GB2312" w:cs="方正仿宋_GB2312"/>
          <w:b/>
          <w:bCs/>
          <w:szCs w:val="32"/>
        </w:rPr>
        <w:t>主要工作过程</w:t>
      </w:r>
    </w:p>
    <w:p w14:paraId="5F3CD3D0">
      <w:pPr>
        <w:ind w:firstLine="640"/>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本标准的编制过程主要包括起</w:t>
      </w:r>
      <w:r>
        <w:rPr>
          <w:rFonts w:hint="eastAsia" w:ascii="方正仿宋_GB2312" w:hAnsi="方正仿宋_GB2312" w:eastAsia="方正仿宋_GB2312" w:cs="方正仿宋_GB2312"/>
          <w:szCs w:val="32"/>
          <w:lang w:val="en-US" w:eastAsia="zh-CN"/>
        </w:rPr>
        <w:t>成立标准起</w:t>
      </w:r>
      <w:r>
        <w:rPr>
          <w:rFonts w:hint="eastAsia" w:ascii="方正仿宋_GB2312" w:hAnsi="方正仿宋_GB2312" w:eastAsia="方正仿宋_GB2312" w:cs="方正仿宋_GB2312"/>
          <w:szCs w:val="32"/>
        </w:rPr>
        <w:t>草小组、前期准备、标准调研、标准草案的完成、形成征求意见稿、征求意见和标准送审</w:t>
      </w:r>
      <w:r>
        <w:rPr>
          <w:rFonts w:hint="eastAsia" w:ascii="方正仿宋_GB2312" w:hAnsi="方正仿宋_GB2312" w:eastAsia="方正仿宋_GB2312" w:cs="方正仿宋_GB2312"/>
          <w:szCs w:val="32"/>
          <w:lang w:val="en-US" w:eastAsia="zh-CN"/>
        </w:rPr>
        <w:t>七</w:t>
      </w:r>
      <w:r>
        <w:rPr>
          <w:rFonts w:hint="eastAsia" w:ascii="方正仿宋_GB2312" w:hAnsi="方正仿宋_GB2312" w:eastAsia="方正仿宋_GB2312" w:cs="方正仿宋_GB2312"/>
          <w:szCs w:val="32"/>
        </w:rPr>
        <w:t>个阶段。</w:t>
      </w:r>
    </w:p>
    <w:p w14:paraId="1C6041BD">
      <w:pPr>
        <w:ind w:firstLine="643"/>
        <w:rPr>
          <w:rFonts w:ascii="方正仿宋_GB2312" w:hAnsi="方正仿宋_GB2312" w:eastAsia="方正仿宋_GB2312" w:cs="方正仿宋_GB2312"/>
          <w:b/>
          <w:bCs/>
          <w:szCs w:val="32"/>
        </w:rPr>
      </w:pPr>
      <w:r>
        <w:rPr>
          <w:rFonts w:hint="eastAsia" w:ascii="方正仿宋_GB2312" w:hAnsi="方正仿宋_GB2312" w:eastAsia="方正仿宋_GB2312" w:cs="方正仿宋_GB2312"/>
          <w:b/>
          <w:bCs/>
          <w:szCs w:val="32"/>
        </w:rPr>
        <w:t>1.</w:t>
      </w:r>
      <w:r>
        <w:rPr>
          <w:rFonts w:hint="eastAsia" w:ascii="仿宋" w:hAnsi="仿宋" w:eastAsia="仿宋"/>
          <w:szCs w:val="24"/>
        </w:rPr>
        <w:t>成立标准起草小组</w:t>
      </w:r>
    </w:p>
    <w:p w14:paraId="72EF7C8C">
      <w:pPr>
        <w:ind w:firstLine="640"/>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大连港口设计研究院有限公司、大连标准认证研究院、 大连天赖安全风险管理技术有限公司、大连文化旅游发展集团有限公司共同组织和成立了标准起草小组，在2025.1.7召开了项目推进会议。会上介绍了任务来源，并讨论了标准制定的总体思路、标准框架，分配制定标准的工作安排、编写分工等，确保满足工作的各项需求。</w:t>
      </w:r>
    </w:p>
    <w:p w14:paraId="3176E7F6">
      <w:pPr>
        <w:ind w:firstLine="643"/>
        <w:rPr>
          <w:rFonts w:ascii="方正仿宋_GB2312" w:hAnsi="方正仿宋_GB2312" w:eastAsia="方正仿宋_GB2312" w:cs="方正仿宋_GB2312"/>
          <w:b/>
          <w:bCs/>
          <w:szCs w:val="32"/>
        </w:rPr>
      </w:pPr>
      <w:r>
        <w:rPr>
          <w:rFonts w:hint="eastAsia" w:ascii="方正仿宋_GB2312" w:hAnsi="方正仿宋_GB2312" w:eastAsia="方正仿宋_GB2312" w:cs="方正仿宋_GB2312"/>
          <w:b/>
          <w:bCs/>
          <w:szCs w:val="32"/>
        </w:rPr>
        <w:t>2.</w:t>
      </w:r>
      <w:r>
        <w:rPr>
          <w:rFonts w:hint="eastAsia" w:ascii="仿宋" w:hAnsi="仿宋" w:eastAsia="仿宋"/>
          <w:szCs w:val="24"/>
        </w:rPr>
        <w:t>前期准备</w:t>
      </w:r>
    </w:p>
    <w:p w14:paraId="6ED8911E">
      <w:pPr>
        <w:ind w:firstLine="640"/>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（1）明确标准编写内容和适用范围，制定工作计划安排，设立预期目标。</w:t>
      </w:r>
    </w:p>
    <w:p w14:paraId="6CF091FC">
      <w:pPr>
        <w:ind w:firstLine="640"/>
        <w:jc w:val="left"/>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2）收集资料。明确编写内容和范围后，标准起草小组广泛收集相关法律法规和标准，并进行深入研究。小组于国家、各省份层面查询和筛选相关法律法规，梳理《中华人民共和国港口法》《港口建设管理规定》《游艇安全管理规定》《关于加快智慧港口和智慧航道建设的意见》《辽宁省水路运输管理规定》《辽宁省港口管理规定》等国家、辽宁省相关法律法规及《海南省游艇管理办法》《秦皇岛市游船游艇码头管理规定》等其他省份相关的法律法规，工作期间共收集十余篇</w:t>
      </w:r>
      <w:r>
        <w:rPr>
          <w:rFonts w:hint="eastAsia" w:ascii="方正仿宋_GB2312" w:hAnsi="方正仿宋_GB2312" w:eastAsia="方正仿宋_GB2312" w:cs="方正仿宋_GB2312"/>
          <w:szCs w:val="32"/>
          <w:lang w:val="en-US" w:eastAsia="zh-CN"/>
        </w:rPr>
        <w:t>水上旅游运输</w:t>
      </w:r>
      <w:r>
        <w:rPr>
          <w:rFonts w:hint="eastAsia" w:ascii="方正仿宋_GB2312" w:hAnsi="方正仿宋_GB2312" w:eastAsia="方正仿宋_GB2312" w:cs="方正仿宋_GB2312"/>
          <w:szCs w:val="32"/>
        </w:rPr>
        <w:t>码头相关法律法规和指导性文件。同时，以“游艇码头”“旅游运输码头”等关键词在全国标准信息公共服务平台及其他平台进行检索，收集行业标准1项（JTS 165-7《游艇码头设计规范》），查阅结果显示，目前尚不存在同类的国家标准、辽宁省地方标准、大连市地方标准。与本次拟编制标准具备一定相关性的其他省市地方标准DB</w:t>
      </w:r>
      <w:r>
        <w:rPr>
          <w:rFonts w:hint="eastAsia" w:ascii="方正仿宋_GB2312" w:hAnsi="方正仿宋_GB2312" w:eastAsia="方正仿宋_GB2312" w:cs="方正仿宋_GB2312"/>
          <w:szCs w:val="32"/>
          <w:lang w:val="en-US" w:eastAsia="zh-CN"/>
        </w:rPr>
        <w:t xml:space="preserve"> </w:t>
      </w:r>
      <w:r>
        <w:rPr>
          <w:rFonts w:hint="eastAsia" w:ascii="方正仿宋_GB2312" w:hAnsi="方正仿宋_GB2312" w:eastAsia="方正仿宋_GB2312" w:cs="方正仿宋_GB2312"/>
          <w:szCs w:val="32"/>
        </w:rPr>
        <w:t>44/T 1592《游艇码头浮桥结构制作安装与检验标准》、DB</w:t>
      </w:r>
      <w:r>
        <w:rPr>
          <w:rFonts w:hint="eastAsia" w:ascii="方正仿宋_GB2312" w:hAnsi="方正仿宋_GB2312" w:eastAsia="方正仿宋_GB2312" w:cs="方正仿宋_GB2312"/>
          <w:szCs w:val="32"/>
          <w:lang w:val="en-US" w:eastAsia="zh-CN"/>
        </w:rPr>
        <w:t xml:space="preserve"> </w:t>
      </w:r>
      <w:r>
        <w:rPr>
          <w:rFonts w:hint="eastAsia" w:ascii="方正仿宋_GB2312" w:hAnsi="方正仿宋_GB2312" w:eastAsia="方正仿宋_GB2312" w:cs="方正仿宋_GB2312"/>
          <w:szCs w:val="32"/>
        </w:rPr>
        <w:t>37/T 4638《山东省游艇码头工程质量检验规程》、DB</w:t>
      </w:r>
      <w:r>
        <w:rPr>
          <w:rFonts w:hint="eastAsia" w:ascii="方正仿宋_GB2312" w:hAnsi="方正仿宋_GB2312" w:eastAsia="方正仿宋_GB2312" w:cs="方正仿宋_GB2312"/>
          <w:szCs w:val="32"/>
          <w:lang w:val="en-US" w:eastAsia="zh-CN"/>
        </w:rPr>
        <w:t xml:space="preserve"> </w:t>
      </w:r>
      <w:r>
        <w:rPr>
          <w:rFonts w:hint="eastAsia" w:ascii="方正仿宋_GB2312" w:hAnsi="方正仿宋_GB2312" w:eastAsia="方正仿宋_GB2312" w:cs="方正仿宋_GB2312"/>
          <w:szCs w:val="32"/>
        </w:rPr>
        <w:t>35/T 1318《福建省游艇码头工程质量检验标准》，其中广东省、山东省、福建省各1项，共计3项，本次工作重点将针对标准进行资料分析和数据比对。标准工作组对收集的信息和资料进行整理、分类和归纳，经过大量研究，搭建标准的基本框架，包括标准的范围、术语定义、建设要求、管理要求、监督、评价与改进等部分。</w:t>
      </w:r>
    </w:p>
    <w:p w14:paraId="7918A7C5">
      <w:pPr>
        <w:spacing w:line="360" w:lineRule="auto"/>
        <w:ind w:firstLine="0" w:firstLineChars="0"/>
        <w:jc w:val="left"/>
        <w:rPr>
          <w:rFonts w:hint="eastAsia" w:ascii="方正仿宋_GB2312" w:hAnsi="方正仿宋_GB2312" w:eastAsia="方正仿宋_GB2312" w:cs="方正仿宋_GB2312"/>
          <w:szCs w:val="32"/>
          <w:lang w:eastAsia="zh-CN"/>
        </w:rPr>
      </w:pPr>
      <w:r>
        <w:rPr>
          <w:rFonts w:hint="eastAsia" w:ascii="方正仿宋_GB2312" w:hAnsi="方正仿宋_GB2312" w:eastAsia="方正仿宋_GB2312" w:cs="方正仿宋_GB2312"/>
          <w:szCs w:val="32"/>
          <w:lang w:eastAsia="zh-CN"/>
        </w:rPr>
        <w:drawing>
          <wp:inline distT="0" distB="0" distL="114300" distR="114300">
            <wp:extent cx="5264785" cy="3947160"/>
            <wp:effectExtent l="0" t="0" r="12065" b="15240"/>
            <wp:docPr id="10" name="图片 10" descr="d0f24758e0ba3e5d388003cb876f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d0f24758e0ba3e5d388003cb876f754"/>
                    <pic:cNvPicPr>
                      <a:picLocks noChangeAspect="1"/>
                    </pic:cNvPicPr>
                  </pic:nvPicPr>
                  <pic:blipFill>
                    <a:blip r:embed="rId13"/>
                    <a:stretch>
                      <a:fillRect/>
                    </a:stretch>
                  </pic:blipFill>
                  <pic:spPr>
                    <a:xfrm>
                      <a:off x="0" y="0"/>
                      <a:ext cx="5264785" cy="3947160"/>
                    </a:xfrm>
                    <a:prstGeom prst="rect">
                      <a:avLst/>
                    </a:prstGeom>
                  </pic:spPr>
                </pic:pic>
              </a:graphicData>
            </a:graphic>
          </wp:inline>
        </w:drawing>
      </w:r>
    </w:p>
    <w:p w14:paraId="037E4DAB">
      <w:pPr>
        <w:spacing w:line="360" w:lineRule="auto"/>
        <w:ind w:left="320" w:leftChars="100" w:firstLine="0" w:firstLineChars="0"/>
        <w:jc w:val="center"/>
        <w:rPr>
          <w:rFonts w:ascii="方正仿宋_GB2312" w:hAnsi="方正仿宋_GB2312" w:eastAsia="方正仿宋_GB2312" w:cs="方正仿宋_GB2312"/>
          <w:szCs w:val="32"/>
        </w:rPr>
      </w:pPr>
    </w:p>
    <w:p w14:paraId="6DA16C22">
      <w:pPr>
        <w:ind w:firstLine="643"/>
        <w:jc w:val="left"/>
        <w:rPr>
          <w:rFonts w:ascii="TimesNewRomanPS-BoldMT" w:hAnsi="TimesNewRomanPS-BoldMT" w:eastAsia="TimesNewRomanPS-BoldMT"/>
          <w:b/>
          <w:szCs w:val="24"/>
        </w:rPr>
      </w:pPr>
      <w:r>
        <w:rPr>
          <w:rFonts w:hint="eastAsia" w:ascii="TimesNewRomanPS-BoldMT" w:hAnsi="TimesNewRomanPS-BoldMT" w:eastAsia="TimesNewRomanPS-BoldMT"/>
          <w:b/>
          <w:szCs w:val="24"/>
        </w:rPr>
        <w:t>3.</w:t>
      </w:r>
      <w:r>
        <w:rPr>
          <w:rFonts w:hint="eastAsia" w:ascii="仿宋" w:hAnsi="仿宋" w:eastAsia="仿宋"/>
          <w:szCs w:val="24"/>
        </w:rPr>
        <w:t>标准调研</w:t>
      </w:r>
    </w:p>
    <w:p w14:paraId="79418016">
      <w:pPr>
        <w:ind w:firstLine="640"/>
        <w:jc w:val="left"/>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为了真实、详尽地了解现阶段我市水上旅游运输码头的建设情况、运营管理情况及存在的问题等，经我市交通局、文旅集团相关部门推荐，通过实地走访或线上沟通等方式，对水上旅游运输码头开展了调研，并与相关负责人和从业人员进行了深入沟通。2025年2月28日 ，大连标准认证研究院有限公司联合市交通局、大连港口设计研究院有限公司，去大港港区15库、星海游艇港进行码头进行现场调研。大港港区15库位于大连市中山区港湾街，毗邻大连港老港区，改造陡坡引桥（坡度≤1:4），增设防滑条及安全警示标识，大港港区15库北侧甲码头利用现有设施设置水上旅游运输船舶临时靠泊点，靠泊点考虑水位适应性及靠泊船型，采用趸船式浮码头结构。星海湾游艇码头位于大连星海公园东侧的星海湾游艇港内，掩护条件较好，码头采用浮桥式码头结构。</w:t>
      </w:r>
    </w:p>
    <w:p w14:paraId="3E2EFA28">
      <w:pPr>
        <w:spacing w:line="360" w:lineRule="auto"/>
        <w:ind w:left="320" w:leftChars="100" w:firstLine="0" w:firstLineChars="0"/>
        <w:jc w:val="left"/>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drawing>
          <wp:inline distT="0" distB="0" distL="114300" distR="114300">
            <wp:extent cx="5269230" cy="5269230"/>
            <wp:effectExtent l="0" t="0" r="7620" b="7620"/>
            <wp:docPr id="8" name="图片 8" descr="b362b8b3c099c876dc30ad08a0cc4b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b362b8b3c099c876dc30ad08a0cc4b9"/>
                    <pic:cNvPicPr>
                      <a:picLocks noChangeAspect="1"/>
                    </pic:cNvPicPr>
                  </pic:nvPicPr>
                  <pic:blipFill>
                    <a:blip r:embed="rId14"/>
                    <a:stretch>
                      <a:fillRect/>
                    </a:stretch>
                  </pic:blipFill>
                  <pic:spPr>
                    <a:xfrm>
                      <a:off x="0" y="0"/>
                      <a:ext cx="5269230" cy="5269230"/>
                    </a:xfrm>
                    <a:prstGeom prst="rect">
                      <a:avLst/>
                    </a:prstGeom>
                  </pic:spPr>
                </pic:pic>
              </a:graphicData>
            </a:graphic>
          </wp:inline>
        </w:drawing>
      </w:r>
    </w:p>
    <w:p w14:paraId="21F21472">
      <w:pPr>
        <w:ind w:firstLine="640"/>
        <w:jc w:val="left"/>
        <w:rPr>
          <w:rFonts w:hint="eastAsia" w:ascii="方正仿宋_GB2312" w:hAnsi="方正仿宋_GB2312" w:eastAsia="方正仿宋_GB2312" w:cs="方正仿宋_GB2312"/>
          <w:szCs w:val="32"/>
          <w:lang w:val="en-US" w:eastAsia="zh-CN"/>
        </w:rPr>
      </w:pPr>
    </w:p>
    <w:p w14:paraId="754D6316">
      <w:pPr>
        <w:ind w:firstLine="640"/>
        <w:jc w:val="left"/>
        <w:rPr>
          <w:rFonts w:hint="eastAsia" w:ascii="方正仿宋_GB2312" w:hAnsi="方正仿宋_GB2312" w:eastAsia="方正仿宋_GB2312" w:cs="方正仿宋_GB2312"/>
          <w:szCs w:val="32"/>
          <w:lang w:val="en-US" w:eastAsia="zh-CN"/>
        </w:rPr>
      </w:pPr>
    </w:p>
    <w:p w14:paraId="6A0FE884">
      <w:pPr>
        <w:ind w:firstLine="640"/>
        <w:jc w:val="left"/>
        <w:rPr>
          <w:rFonts w:hint="eastAsia" w:ascii="方正仿宋_GB2312" w:hAnsi="方正仿宋_GB2312" w:eastAsia="方正仿宋_GB2312" w:cs="方正仿宋_GB2312"/>
          <w:szCs w:val="32"/>
          <w:lang w:val="en-US" w:eastAsia="zh-CN"/>
        </w:rPr>
      </w:pPr>
    </w:p>
    <w:p w14:paraId="1237C01A">
      <w:pPr>
        <w:ind w:firstLine="640"/>
        <w:jc w:val="left"/>
        <w:rPr>
          <w:rFonts w:hint="eastAsia" w:ascii="方正仿宋_GB2312" w:hAnsi="方正仿宋_GB2312" w:eastAsia="方正仿宋_GB2312" w:cs="方正仿宋_GB2312"/>
          <w:szCs w:val="32"/>
          <w:lang w:val="en-US" w:eastAsia="zh-CN"/>
        </w:rPr>
      </w:pPr>
    </w:p>
    <w:p w14:paraId="191EA705">
      <w:pPr>
        <w:ind w:firstLine="640"/>
        <w:jc w:val="left"/>
        <w:rPr>
          <w:rFonts w:hint="eastAsia" w:ascii="方正仿宋_GB2312" w:hAnsi="方正仿宋_GB2312" w:eastAsia="方正仿宋_GB2312" w:cs="方正仿宋_GB2312"/>
          <w:szCs w:val="32"/>
          <w:lang w:val="en-US" w:eastAsia="zh-CN"/>
        </w:rPr>
      </w:pPr>
    </w:p>
    <w:p w14:paraId="7E5EF5D5">
      <w:pPr>
        <w:ind w:firstLine="640"/>
        <w:jc w:val="left"/>
        <w:rPr>
          <w:rFonts w:hint="eastAsia" w:ascii="方正仿宋_GB2312" w:hAnsi="方正仿宋_GB2312" w:eastAsia="方正仿宋_GB2312" w:cs="方正仿宋_GB2312"/>
          <w:szCs w:val="32"/>
          <w:lang w:val="en-US" w:eastAsia="zh-CN"/>
        </w:rPr>
      </w:pPr>
    </w:p>
    <w:p w14:paraId="27D5C6D9">
      <w:pPr>
        <w:ind w:firstLine="640"/>
        <w:jc w:val="left"/>
        <w:rPr>
          <w:rFonts w:hint="eastAsia" w:ascii="方正仿宋_GB2312" w:hAnsi="方正仿宋_GB2312" w:eastAsia="方正仿宋_GB2312" w:cs="方正仿宋_GB2312"/>
          <w:szCs w:val="32"/>
          <w:lang w:val="en-US" w:eastAsia="zh-CN"/>
        </w:rPr>
      </w:pPr>
    </w:p>
    <w:p w14:paraId="348E1BFF">
      <w:pPr>
        <w:ind w:firstLine="640"/>
        <w:jc w:val="left"/>
        <w:rPr>
          <w:rFonts w:hint="eastAsia" w:ascii="方正仿宋_GB2312" w:hAnsi="方正仿宋_GB2312" w:eastAsia="方正仿宋_GB2312" w:cs="方正仿宋_GB2312"/>
          <w:szCs w:val="32"/>
          <w:lang w:val="en-US" w:eastAsia="zh-CN"/>
        </w:rPr>
      </w:pPr>
    </w:p>
    <w:p w14:paraId="62E132A4">
      <w:pPr>
        <w:ind w:firstLine="640"/>
        <w:jc w:val="left"/>
        <w:rPr>
          <w:rFonts w:hint="eastAsia" w:ascii="方正仿宋_GB2312" w:hAnsi="方正仿宋_GB2312" w:eastAsia="方正仿宋_GB2312" w:cs="方正仿宋_GB2312"/>
          <w:szCs w:val="32"/>
          <w:lang w:val="en-US" w:eastAsia="zh-CN"/>
        </w:rPr>
      </w:pPr>
    </w:p>
    <w:p w14:paraId="069FEF13">
      <w:pPr>
        <w:ind w:firstLine="640"/>
        <w:jc w:val="left"/>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4. 标准草案的确定</w:t>
      </w:r>
    </w:p>
    <w:p w14:paraId="5FE7B6BD">
      <w:pPr>
        <w:ind w:firstLine="640"/>
        <w:jc w:val="left"/>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2025年2月17日在市交通局召开了内部研讨会就标准草案的内容和相关定义进行了讨论。明确标准制定的水上旅游运输码头不同于游艇码头，会议重点讨论了水上旅游运输码头在建设过程中相关程序等内容。</w:t>
      </w:r>
    </w:p>
    <w:p w14:paraId="094650A5">
      <w:pPr>
        <w:ind w:firstLine="640"/>
        <w:jc w:val="left"/>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2025年2月28日、2025年3月17日在大连标准认证院召开了两次内部研讨会。对内容进行更全面、更细致的讨论和分析，确定码头根据掩护条件，分为良好掩护码头、半开敞式码头和开敞式码头三种类型，根据三种码头相关内容进一步确定建设、管理等相关内容。</w:t>
      </w:r>
    </w:p>
    <w:p w14:paraId="1E620A5C">
      <w:pPr>
        <w:ind w:firstLine="640"/>
        <w:jc w:val="left"/>
        <w:rPr>
          <w:rFonts w:hint="eastAsia" w:ascii="方正仿宋_GB2312" w:hAnsi="方正仿宋_GB2312" w:eastAsia="方正仿宋_GB2312" w:cs="方正仿宋_GB2312"/>
          <w:szCs w:val="32"/>
          <w:lang w:val="en-US" w:eastAsia="zh-CN"/>
        </w:rPr>
      </w:pPr>
    </w:p>
    <w:p w14:paraId="0CD2A5A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方正仿宋_GB2312" w:hAnsi="方正仿宋_GB2312" w:eastAsia="方正仿宋_GB2312" w:cs="方正仿宋_GB2312"/>
          <w:szCs w:val="32"/>
          <w:lang w:val="en-US" w:eastAsia="zh-CN"/>
        </w:rPr>
      </w:pPr>
      <w:r>
        <w:rPr>
          <w:rFonts w:hint="default" w:ascii="方正仿宋_GB2312" w:hAnsi="方正仿宋_GB2312" w:eastAsia="方正仿宋_GB2312" w:cs="方正仿宋_GB2312"/>
          <w:szCs w:val="32"/>
          <w:lang w:val="en-US" w:eastAsia="zh-CN"/>
        </w:rPr>
        <w:drawing>
          <wp:inline distT="0" distB="0" distL="114300" distR="114300">
            <wp:extent cx="5645785" cy="3947160"/>
            <wp:effectExtent l="0" t="0" r="12065" b="15240"/>
            <wp:docPr id="2" name="图片 2" descr="c07feb543ff98b78512222ef23099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07feb543ff98b78512222ef23099d3"/>
                    <pic:cNvPicPr>
                      <a:picLocks noChangeAspect="1"/>
                    </pic:cNvPicPr>
                  </pic:nvPicPr>
                  <pic:blipFill>
                    <a:blip r:embed="rId15"/>
                    <a:stretch>
                      <a:fillRect/>
                    </a:stretch>
                  </pic:blipFill>
                  <pic:spPr>
                    <a:xfrm>
                      <a:off x="0" y="0"/>
                      <a:ext cx="5645785" cy="3947160"/>
                    </a:xfrm>
                    <a:prstGeom prst="rect">
                      <a:avLst/>
                    </a:prstGeom>
                  </pic:spPr>
                </pic:pic>
              </a:graphicData>
            </a:graphic>
          </wp:inline>
        </w:drawing>
      </w:r>
    </w:p>
    <w:p w14:paraId="3DA0A4D6">
      <w:pPr>
        <w:ind w:firstLine="640"/>
        <w:jc w:val="left"/>
        <w:rPr>
          <w:rFonts w:hint="eastAsia" w:ascii="方正仿宋_GB2312" w:hAnsi="方正仿宋_GB2312" w:eastAsia="方正仿宋_GB2312" w:cs="方正仿宋_GB2312"/>
          <w:szCs w:val="32"/>
        </w:rPr>
      </w:pPr>
    </w:p>
    <w:p w14:paraId="64FF951E">
      <w:pPr>
        <w:ind w:firstLine="640"/>
        <w:jc w:val="left"/>
        <w:rPr>
          <w:rFonts w:hint="eastAsia" w:ascii="方正仿宋_GB2312" w:hAnsi="方正仿宋_GB2312" w:eastAsia="方正仿宋_GB2312" w:cs="方正仿宋_GB2312"/>
          <w:szCs w:val="32"/>
        </w:rPr>
      </w:pPr>
    </w:p>
    <w:p w14:paraId="3664946D">
      <w:pPr>
        <w:ind w:firstLine="640"/>
        <w:jc w:val="left"/>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5</w:t>
      </w:r>
      <w:r>
        <w:rPr>
          <w:rFonts w:ascii="方正仿宋_GB2312" w:hAnsi="方正仿宋_GB2312" w:eastAsia="方正仿宋_GB2312" w:cs="方正仿宋_GB2312"/>
          <w:szCs w:val="32"/>
        </w:rPr>
        <w:t>.形成标准征求意见稿</w:t>
      </w:r>
    </w:p>
    <w:p w14:paraId="41BABA07">
      <w:pPr>
        <w:ind w:firstLine="640"/>
        <w:jc w:val="left"/>
        <w:rPr>
          <w:rFonts w:hint="eastAsia" w:ascii="方正仿宋_GB2312" w:hAnsi="方正仿宋_GB2312" w:eastAsia="方正仿宋_GB2312" w:cs="方正仿宋_GB2312"/>
          <w:szCs w:val="32"/>
          <w:lang w:eastAsia="zh-CN"/>
        </w:rPr>
      </w:pPr>
      <w:r>
        <w:rPr>
          <w:rFonts w:hint="eastAsia" w:ascii="方正仿宋_GB2312" w:hAnsi="方正仿宋_GB2312" w:eastAsia="方正仿宋_GB2312" w:cs="方正仿宋_GB2312"/>
          <w:szCs w:val="32"/>
        </w:rPr>
        <w:t>2</w:t>
      </w:r>
      <w:r>
        <w:rPr>
          <w:rFonts w:hint="eastAsia" w:ascii="方正仿宋_GB2312" w:hAnsi="方正仿宋_GB2312" w:eastAsia="方正仿宋_GB2312" w:cs="方正仿宋_GB2312"/>
          <w:szCs w:val="32"/>
          <w:lang w:val="en-US" w:eastAsia="zh-CN"/>
        </w:rPr>
        <w:t>025</w:t>
      </w:r>
      <w:r>
        <w:rPr>
          <w:rFonts w:hint="eastAsia" w:ascii="方正仿宋_GB2312" w:hAnsi="方正仿宋_GB2312" w:eastAsia="方正仿宋_GB2312" w:cs="方正仿宋_GB2312"/>
          <w:szCs w:val="32"/>
        </w:rPr>
        <w:t>年3月19日在市交通局召开标准制定研讨会，对标准草案进行深入讨论，逐条剖析，标准编制组根据研讨会意见，对标准草案进行了修改完善，形成标准征求意见稿</w:t>
      </w:r>
      <w:r>
        <w:rPr>
          <w:rFonts w:hint="eastAsia" w:ascii="方正仿宋_GB2312" w:hAnsi="方正仿宋_GB2312" w:eastAsia="方正仿宋_GB2312" w:cs="方正仿宋_GB2312"/>
          <w:szCs w:val="32"/>
          <w:lang w:eastAsia="zh-CN"/>
        </w:rPr>
        <w:t>。</w:t>
      </w:r>
    </w:p>
    <w:p w14:paraId="4B8DA354">
      <w:pPr>
        <w:ind w:firstLine="640"/>
        <w:jc w:val="left"/>
        <w:rPr>
          <w:rFonts w:hint="eastAsia" w:ascii="方正仿宋_GB2312" w:hAnsi="方正仿宋_GB2312" w:eastAsia="方正仿宋_GB2312" w:cs="方正仿宋_GB2312"/>
          <w:szCs w:val="32"/>
          <w:lang w:eastAsia="zh-CN"/>
        </w:rPr>
      </w:pPr>
    </w:p>
    <w:p w14:paraId="19085F1F">
      <w:pPr>
        <w:spacing w:line="360" w:lineRule="auto"/>
        <w:ind w:firstLine="0" w:firstLineChars="0"/>
        <w:jc w:val="left"/>
        <w:rPr>
          <w:rFonts w:hint="eastAsia" w:ascii="方正仿宋_GB2312" w:hAnsi="方正仿宋_GB2312" w:eastAsia="方正仿宋_GB2312" w:cs="方正仿宋_GB2312"/>
          <w:szCs w:val="32"/>
          <w:lang w:eastAsia="zh-CN"/>
        </w:rPr>
      </w:pPr>
      <w:r>
        <w:rPr>
          <w:rFonts w:hint="eastAsia" w:ascii="方正仿宋_GB2312" w:hAnsi="方正仿宋_GB2312" w:eastAsia="方正仿宋_GB2312" w:cs="方正仿宋_GB2312"/>
          <w:szCs w:val="32"/>
        </w:rPr>
        <w:drawing>
          <wp:inline distT="0" distB="0" distL="114300" distR="114300">
            <wp:extent cx="5264785" cy="3705225"/>
            <wp:effectExtent l="0" t="0" r="12065" b="9525"/>
            <wp:docPr id="9" name="图片 9" descr="0e10ce0aca0337131c9b337a9dc47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0e10ce0aca0337131c9b337a9dc470d"/>
                    <pic:cNvPicPr>
                      <a:picLocks noChangeAspect="1"/>
                    </pic:cNvPicPr>
                  </pic:nvPicPr>
                  <pic:blipFill>
                    <a:blip r:embed="rId16"/>
                    <a:stretch>
                      <a:fillRect/>
                    </a:stretch>
                  </pic:blipFill>
                  <pic:spPr>
                    <a:xfrm>
                      <a:off x="0" y="0"/>
                      <a:ext cx="5264785" cy="3705225"/>
                    </a:xfrm>
                    <a:prstGeom prst="rect">
                      <a:avLst/>
                    </a:prstGeom>
                  </pic:spPr>
                </pic:pic>
              </a:graphicData>
            </a:graphic>
          </wp:inline>
        </w:drawing>
      </w:r>
    </w:p>
    <w:p w14:paraId="66675E94">
      <w:pPr>
        <w:ind w:firstLine="640"/>
        <w:rPr>
          <w:rFonts w:ascii="仿宋" w:hAnsi="仿宋" w:eastAsia="仿宋"/>
          <w:szCs w:val="24"/>
        </w:rPr>
      </w:pPr>
    </w:p>
    <w:p w14:paraId="659BF8D6">
      <w:pPr>
        <w:widowControl/>
        <w:ind w:firstLine="640"/>
        <w:jc w:val="left"/>
        <w:rPr>
          <w:rFonts w:ascii="方正仿宋_GB2312" w:hAnsi="方正仿宋_GB2312" w:eastAsia="方正仿宋_GB2312" w:cs="方正仿宋_GB231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p>
    <w:p w14:paraId="1F7EF971">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ascii="方正仿宋_GB2312" w:hAnsi="方正仿宋_GB2312" w:eastAsia="方正仿宋_GB2312" w:cs="方正仿宋_GB2312"/>
          <w:b/>
          <w:bCs/>
          <w:szCs w:val="32"/>
        </w:rPr>
      </w:pPr>
      <w:r>
        <w:rPr>
          <w:rFonts w:hint="eastAsia" w:ascii="方正仿宋_GB2312" w:hAnsi="方正仿宋_GB2312" w:eastAsia="方正仿宋_GB2312" w:cs="方正仿宋_GB2312"/>
          <w:b/>
          <w:bCs/>
          <w:szCs w:val="32"/>
        </w:rPr>
        <w:t>标准编制原则和确定地方标准主要内容(如技术指标、参数、公式、性能要求、试验方法、检验规则等)的论据(包括实验过程、统计数据、分析报告等)</w:t>
      </w:r>
    </w:p>
    <w:p w14:paraId="33BFE57F">
      <w:pPr>
        <w:widowControl/>
        <w:ind w:firstLine="640"/>
        <w:jc w:val="left"/>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（一）标准编制原则</w:t>
      </w:r>
    </w:p>
    <w:p w14:paraId="2DCE23EE">
      <w:pPr>
        <w:widowControl/>
        <w:ind w:firstLine="640"/>
        <w:jc w:val="left"/>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 xml:space="preserve">1.科学性原则 </w:t>
      </w:r>
    </w:p>
    <w:p w14:paraId="6176F814">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根据《中华人民共和国港口法》《港口建设管理规定》等相关法律法规。同时查阅了大量文献，其中邝向荣等学者在《游艇港选址、规划、设计与开发》中特别指出游艇码头属于重大投资，选址设计非常关键，要综合考虑选址地的地理环境、社会环境、吸引物、施工条件、营运环境五大要素。参照了JTS 165-7《游艇码头设计规范》、JTS 167《码头结构设计规范》等标准，同时对有一定关联性的标准进行了深入学习研究和分析对比，结合多方实地调研，确定标准条款。</w:t>
      </w:r>
    </w:p>
    <w:p w14:paraId="11CB8C44">
      <w:pPr>
        <w:widowControl/>
        <w:ind w:firstLine="640"/>
        <w:jc w:val="left"/>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2.适用性原则</w:t>
      </w:r>
    </w:p>
    <w:p w14:paraId="48A2C8C2">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符合辽宁省《辽宁省水上旅游运输管理规定》、大连市《大连市游艇码头布局专项规划（2023-2035年）》，确保码头建设与城市功能定位、产业布局和交通网络相协调。要充分考虑码头的地理位置、自然条件、旅游资源等因素，确保码头的建设能够最大化地利用现有资源，促进区域经济发展。标准内容经过起草编制小组反复讨论，实地验证，语言表达力求准确、精炼，条理清晰，便于实施，适用性强。</w:t>
      </w:r>
    </w:p>
    <w:p w14:paraId="04D5C50D">
      <w:pPr>
        <w:widowControl/>
        <w:ind w:firstLine="640"/>
        <w:jc w:val="left"/>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3.规范性原则</w:t>
      </w:r>
      <w:bookmarkStart w:id="1" w:name="_GoBack"/>
      <w:bookmarkEnd w:id="1"/>
    </w:p>
    <w:p w14:paraId="04437CB2">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本文件依据 GB/T 1.1《标准化工作导则 第 1 部分：标准化文件的结构和起草规则》、GB/T 20001.5《标准编写规则 第5部分：规范标准》的要求进行编制，保证了规范性。</w:t>
      </w:r>
    </w:p>
    <w:p w14:paraId="36F44102">
      <w:pPr>
        <w:ind w:left="640" w:leftChars="200" w:firstLine="0" w:firstLineChars="0"/>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 xml:space="preserve">（二）标准主要内容 </w:t>
      </w:r>
    </w:p>
    <w:p w14:paraId="2CE69537">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本标准共7章，主要内容包括：范围、规范性引用文件、术语和定义、总则、建设要求、管理要求、监督、评价与改进等。</w:t>
      </w:r>
    </w:p>
    <w:p w14:paraId="6FC49B11">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1范围</w:t>
      </w:r>
    </w:p>
    <w:p w14:paraId="788B8C4B">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提供了旅游运输码头的建设要求、管理要求、监督、评价与改进等方面的指导。适用于大连市水上旅游运输码头的建设与管理</w:t>
      </w:r>
      <w:r>
        <w:rPr>
          <w:rFonts w:hint="eastAsia" w:ascii="方正仿宋_GB2312" w:hAnsi="方正仿宋_GB2312" w:eastAsia="方正仿宋_GB2312" w:cs="方正仿宋_GB2312"/>
          <w:szCs w:val="32"/>
          <w:lang w:eastAsia="zh-CN"/>
        </w:rPr>
        <w:t>，</w:t>
      </w:r>
      <w:r>
        <w:rPr>
          <w:rFonts w:hint="eastAsia" w:ascii="方正仿宋_GB2312" w:hAnsi="方正仿宋_GB2312" w:eastAsia="方正仿宋_GB2312" w:cs="方正仿宋_GB2312"/>
          <w:szCs w:val="32"/>
          <w:lang w:val="en-US" w:eastAsia="zh-CN"/>
        </w:rPr>
        <w:t>营运性码头，需要办理经营许可证</w:t>
      </w:r>
      <w:r>
        <w:rPr>
          <w:rFonts w:hint="eastAsia" w:ascii="方正仿宋_GB2312" w:hAnsi="方正仿宋_GB2312" w:eastAsia="方正仿宋_GB2312" w:cs="方正仿宋_GB2312"/>
          <w:szCs w:val="32"/>
        </w:rPr>
        <w:t>不适用于旅艇码头的建设与管理。</w:t>
      </w:r>
    </w:p>
    <w:p w14:paraId="18348973">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2规范性引用文件</w:t>
      </w:r>
    </w:p>
    <w:p w14:paraId="4029FDB2">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lang w:val="en-US" w:eastAsia="zh-CN"/>
        </w:rPr>
        <w:t>本文件引用了</w:t>
      </w:r>
      <w:r>
        <w:rPr>
          <w:rFonts w:hint="eastAsia" w:ascii="方正仿宋_GB2312" w:hAnsi="方正仿宋_GB2312" w:eastAsia="方正仿宋_GB2312" w:cs="方正仿宋_GB2312"/>
          <w:szCs w:val="32"/>
        </w:rPr>
        <w:t>JTS 165-7</w:t>
      </w:r>
      <w:r>
        <w:rPr>
          <w:rFonts w:hint="eastAsia" w:ascii="方正仿宋_GB2312" w:hAnsi="方正仿宋_GB2312" w:eastAsia="方正仿宋_GB2312" w:cs="方正仿宋_GB2312"/>
          <w:szCs w:val="32"/>
          <w:lang w:val="en-US" w:eastAsia="zh-CN"/>
        </w:rPr>
        <w:t>《</w:t>
      </w:r>
      <w:r>
        <w:rPr>
          <w:rFonts w:hint="eastAsia" w:ascii="方正仿宋_GB2312" w:hAnsi="方正仿宋_GB2312" w:eastAsia="方正仿宋_GB2312" w:cs="方正仿宋_GB2312"/>
          <w:szCs w:val="32"/>
        </w:rPr>
        <w:t>游艇码头设计规范</w:t>
      </w:r>
      <w:r>
        <w:rPr>
          <w:rFonts w:hint="eastAsia" w:ascii="方正仿宋_GB2312" w:hAnsi="方正仿宋_GB2312" w:eastAsia="方正仿宋_GB2312" w:cs="方正仿宋_GB2312"/>
          <w:szCs w:val="32"/>
          <w:lang w:val="en-US" w:eastAsia="zh-CN"/>
        </w:rPr>
        <w:t>》</w:t>
      </w:r>
      <w:r>
        <w:rPr>
          <w:rFonts w:hint="eastAsia" w:ascii="方正仿宋_GB2312" w:hAnsi="方正仿宋_GB2312" w:eastAsia="方正仿宋_GB2312" w:cs="方正仿宋_GB2312"/>
          <w:szCs w:val="32"/>
        </w:rPr>
        <w:t>游艇码头设计规范</w:t>
      </w:r>
      <w:r>
        <w:rPr>
          <w:rFonts w:hint="eastAsia" w:ascii="方正仿宋_GB2312" w:hAnsi="方正仿宋_GB2312" w:eastAsia="方正仿宋_GB2312" w:cs="方正仿宋_GB2312"/>
          <w:szCs w:val="32"/>
          <w:lang w:eastAsia="zh-CN"/>
        </w:rPr>
        <w:t>、</w:t>
      </w:r>
      <w:r>
        <w:rPr>
          <w:rFonts w:hint="eastAsia" w:ascii="方正仿宋_GB2312" w:hAnsi="方正仿宋_GB2312" w:eastAsia="方正仿宋_GB2312" w:cs="方正仿宋_GB2312"/>
          <w:szCs w:val="32"/>
        </w:rPr>
        <w:t>JTS 167</w:t>
      </w:r>
      <w:r>
        <w:rPr>
          <w:rFonts w:hint="eastAsia" w:ascii="方正仿宋_GB2312" w:hAnsi="方正仿宋_GB2312" w:eastAsia="方正仿宋_GB2312" w:cs="方正仿宋_GB2312"/>
          <w:szCs w:val="32"/>
          <w:lang w:val="en-US" w:eastAsia="zh-CN"/>
        </w:rPr>
        <w:t>《</w:t>
      </w:r>
      <w:r>
        <w:rPr>
          <w:rFonts w:hint="eastAsia" w:ascii="方正仿宋_GB2312" w:hAnsi="方正仿宋_GB2312" w:eastAsia="方正仿宋_GB2312" w:cs="方正仿宋_GB2312"/>
          <w:szCs w:val="32"/>
        </w:rPr>
        <w:t>码头结构设计规范</w:t>
      </w:r>
      <w:r>
        <w:rPr>
          <w:rFonts w:hint="eastAsia" w:ascii="方正仿宋_GB2312" w:hAnsi="方正仿宋_GB2312" w:eastAsia="方正仿宋_GB2312" w:cs="方正仿宋_GB2312"/>
          <w:szCs w:val="32"/>
          <w:lang w:val="en-US" w:eastAsia="zh-CN"/>
        </w:rPr>
        <w:t>》等14规范性引用文件。</w:t>
      </w:r>
    </w:p>
    <w:p w14:paraId="0512C95B">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3术语和定义</w:t>
      </w:r>
    </w:p>
    <w:p w14:paraId="0F7A650F">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本章从设计方、企业经营者、监管者的各方不同角度对标准</w:t>
      </w:r>
      <w:r>
        <w:rPr>
          <w:rFonts w:hint="eastAsia" w:ascii="方正仿宋_GB2312" w:hAnsi="方正仿宋_GB2312" w:eastAsia="方正仿宋_GB2312" w:cs="方正仿宋_GB2312"/>
          <w:szCs w:val="32"/>
          <w:lang w:val="en-US" w:eastAsia="zh-CN"/>
        </w:rPr>
        <w:t>内容</w:t>
      </w:r>
      <w:r>
        <w:rPr>
          <w:rFonts w:hint="eastAsia" w:ascii="方正仿宋_GB2312" w:hAnsi="方正仿宋_GB2312" w:eastAsia="方正仿宋_GB2312" w:cs="方正仿宋_GB2312"/>
          <w:szCs w:val="32"/>
        </w:rPr>
        <w:t>进行详细地解释进而提升该标准的实用性。分别给出水上旅游运输、良好掩护码头、浮动设施、浮桥等术语和定义。</w:t>
      </w:r>
    </w:p>
    <w:p w14:paraId="0E8B4D0E">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rPr>
        <w:t>【编制依据】</w:t>
      </w:r>
      <w:r>
        <w:rPr>
          <w:rFonts w:hint="eastAsia" w:ascii="方正仿宋_GB2312" w:hAnsi="方正仿宋_GB2312" w:eastAsia="方正仿宋_GB2312" w:cs="方正仿宋_GB2312"/>
          <w:szCs w:val="32"/>
          <w:lang w:val="en-US" w:eastAsia="zh-CN"/>
        </w:rPr>
        <w:t>本章节中术语与定义参考了《辽宁省水路运输管理规定》、JTS 165《海港总体设计规范》、JTS 167《码头结构设计规范》、JTS 165-7《游艇码头设计规范》等内容。水上旅游运输码头不同于游艇码头，为营业性运输码头，结合大连市实际情况，拟开展根据水上旅游运输的码头根据掩护条件，可分为良好掩护码头（大港港区一码头、大港港区15库、东港游艇港、星海游艇港）、半开敞式码头（老虎滩码头）和开敞式码头（棒棰岛、傅家庄、星海湾广场、星海公园）等三种类型。本文件水上旅游运输码头重点强调营业性传播，区分游艇码头。</w:t>
      </w:r>
      <w:r>
        <w:rPr>
          <w:rFonts w:hint="eastAsia" w:ascii="方正仿宋_GB2312" w:hAnsi="方正仿宋_GB2312" w:eastAsia="方正仿宋_GB2312" w:cs="方正仿宋_GB2312"/>
          <w:szCs w:val="32"/>
          <w:highlight w:val="none"/>
          <w:lang w:val="en-US" w:eastAsia="zh-CN"/>
        </w:rPr>
        <w:t>最大波高（H</w:t>
      </w:r>
      <w:r>
        <w:rPr>
          <w:rFonts w:hint="eastAsia" w:ascii="方正仿宋_GB2312" w:hAnsi="方正仿宋_GB2312" w:eastAsia="方正仿宋_GB2312" w:cs="方正仿宋_GB2312"/>
          <w:szCs w:val="32"/>
          <w:highlight w:val="none"/>
          <w:vertAlign w:val="subscript"/>
          <w:lang w:val="en-US" w:eastAsia="zh-CN"/>
        </w:rPr>
        <w:t>4%</w:t>
      </w:r>
      <w:r>
        <w:rPr>
          <w:rFonts w:hint="eastAsia" w:ascii="方正仿宋_GB2312" w:hAnsi="方正仿宋_GB2312" w:eastAsia="方正仿宋_GB2312" w:cs="方正仿宋_GB2312"/>
          <w:szCs w:val="32"/>
          <w:highlight w:val="none"/>
          <w:lang w:val="en-US" w:eastAsia="zh-CN"/>
        </w:rPr>
        <w:t>）结合《游艇码头设计技术研究》（中交第四航务工程勘察设计院，200</w:t>
      </w:r>
      <w:r>
        <w:rPr>
          <w:rFonts w:hint="eastAsia" w:ascii="方正仿宋_GB2312" w:hAnsi="方正仿宋_GB2312" w:eastAsia="方正仿宋_GB2312" w:cs="方正仿宋_GB2312"/>
          <w:szCs w:val="32"/>
          <w:lang w:val="en-US" w:eastAsia="zh-CN"/>
        </w:rPr>
        <w:t>1年）确定为0.5</w:t>
      </w:r>
      <w:r>
        <w:rPr>
          <w:rFonts w:hint="default" w:ascii="方正仿宋_GB2312" w:hAnsi="方正仿宋_GB2312" w:eastAsia="方正仿宋_GB2312" w:cs="方正仿宋_GB2312"/>
          <w:szCs w:val="32"/>
          <w:lang w:val="en-US" w:eastAsia="zh-CN"/>
        </w:rPr>
        <w:t> </w:t>
      </w:r>
      <w:r>
        <w:rPr>
          <w:rFonts w:hint="eastAsia" w:ascii="方正仿宋_GB2312" w:hAnsi="方正仿宋_GB2312" w:eastAsia="方正仿宋_GB2312" w:cs="方正仿宋_GB2312"/>
          <w:szCs w:val="32"/>
          <w:lang w:val="en-US" w:eastAsia="zh-CN"/>
        </w:rPr>
        <w:t>m。大连市水上旅游运输船舶是主要靠浮动设施进行靠泊船舶，包括趸船、浮桥和浮箱等。</w:t>
      </w:r>
    </w:p>
    <w:p w14:paraId="1A77EEFA">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4 总则</w:t>
      </w:r>
    </w:p>
    <w:p w14:paraId="6DA3B851">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rPr>
        <w:t>【编制依据】本章节对水上旅游运输码头的建设管理、安全设施等提出基本要求。参考《港口工程建设管理规定》的建设程序，结合</w:t>
      </w:r>
      <w:r>
        <w:rPr>
          <w:rFonts w:hint="eastAsia" w:ascii="方正仿宋_GB2312" w:hAnsi="方正仿宋_GB2312" w:eastAsia="方正仿宋_GB2312" w:cs="方正仿宋_GB2312"/>
          <w:szCs w:val="32"/>
          <w:lang w:val="en-US" w:eastAsia="zh-CN"/>
        </w:rPr>
        <w:t>大连季节旅游城市特点</w:t>
      </w:r>
      <w:r>
        <w:rPr>
          <w:rFonts w:hint="eastAsia" w:ascii="方正仿宋_GB2312" w:hAnsi="方正仿宋_GB2312" w:eastAsia="方正仿宋_GB2312" w:cs="方正仿宋_GB2312"/>
          <w:szCs w:val="32"/>
        </w:rPr>
        <w:t>，</w:t>
      </w:r>
      <w:r>
        <w:rPr>
          <w:rFonts w:hint="eastAsia" w:ascii="方正仿宋_GB2312" w:hAnsi="方正仿宋_GB2312" w:eastAsia="方正仿宋_GB2312" w:cs="方正仿宋_GB2312"/>
          <w:szCs w:val="32"/>
          <w:lang w:val="en-US" w:eastAsia="zh-CN"/>
        </w:rPr>
        <w:t>区分永久性码头及临时性码头的结构特点不同，调研相关部门，</w:t>
      </w:r>
      <w:r>
        <w:rPr>
          <w:rFonts w:hint="eastAsia" w:ascii="方正仿宋_GB2312" w:hAnsi="方正仿宋_GB2312" w:eastAsia="方正仿宋_GB2312" w:cs="方正仿宋_GB2312"/>
          <w:szCs w:val="32"/>
        </w:rPr>
        <w:t>确定了水上旅游运输码头的建设程序。</w:t>
      </w:r>
    </w:p>
    <w:p w14:paraId="029D9DC7">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5 建设要求</w:t>
      </w:r>
    </w:p>
    <w:p w14:paraId="41E7DD08">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5.1 基本要求</w:t>
      </w:r>
    </w:p>
    <w:p w14:paraId="2E2347FF">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【编制依据】水上旅游运输码头建设的基本要求参考JTS 165-7《游艇码头设计规范》第3章 基本规定和《港口工程建设管理规定》第</w:t>
      </w:r>
      <w:r>
        <w:rPr>
          <w:rFonts w:hint="eastAsia" w:ascii="方正仿宋_GB2312" w:hAnsi="方正仿宋_GB2312" w:eastAsia="方正仿宋_GB2312" w:cs="方正仿宋_GB2312"/>
          <w:szCs w:val="32"/>
          <w:lang w:val="en-US" w:eastAsia="zh-CN"/>
        </w:rPr>
        <w:t>1</w:t>
      </w:r>
      <w:r>
        <w:rPr>
          <w:rFonts w:hint="eastAsia" w:ascii="方正仿宋_GB2312" w:hAnsi="方正仿宋_GB2312" w:eastAsia="方正仿宋_GB2312" w:cs="方正仿宋_GB2312"/>
          <w:szCs w:val="32"/>
        </w:rPr>
        <w:t>章 总则的相关要求</w:t>
      </w:r>
      <w:r>
        <w:rPr>
          <w:rFonts w:hint="eastAsia" w:ascii="方正仿宋_GB2312" w:hAnsi="方正仿宋_GB2312" w:eastAsia="方正仿宋_GB2312" w:cs="方正仿宋_GB2312"/>
          <w:szCs w:val="32"/>
          <w:lang w:val="en-US" w:eastAsia="zh-CN"/>
        </w:rPr>
        <w:t>确定本章内容。本章还对靠泊船舶长度大于</w:t>
      </w:r>
      <w:r>
        <w:rPr>
          <w:rFonts w:hint="default" w:ascii="方正仿宋_GB2312" w:hAnsi="方正仿宋_GB2312" w:eastAsia="方正仿宋_GB2312" w:cs="方正仿宋_GB2312"/>
          <w:szCs w:val="32"/>
          <w:lang w:val="en-US" w:eastAsia="zh-CN"/>
        </w:rPr>
        <w:t>50 m</w:t>
      </w:r>
      <w:r>
        <w:rPr>
          <w:rFonts w:hint="eastAsia" w:ascii="方正仿宋_GB2312" w:hAnsi="方正仿宋_GB2312" w:eastAsia="方正仿宋_GB2312" w:cs="方正仿宋_GB2312"/>
          <w:szCs w:val="32"/>
          <w:lang w:val="en-US" w:eastAsia="zh-CN"/>
        </w:rPr>
        <w:t>的码头提出相关的要求</w:t>
      </w:r>
      <w:r>
        <w:rPr>
          <w:rFonts w:hint="eastAsia" w:ascii="方正仿宋_GB2312" w:hAnsi="方正仿宋_GB2312" w:eastAsia="方正仿宋_GB2312" w:cs="方正仿宋_GB2312"/>
          <w:szCs w:val="32"/>
        </w:rPr>
        <w:t>。</w:t>
      </w:r>
    </w:p>
    <w:p w14:paraId="784BD069">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5.2 选址</w:t>
      </w:r>
    </w:p>
    <w:p w14:paraId="08AFEA3E">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【编制依据】本章节依据JTS 165-7《游艇码头设计规范》第4章的相关内容，并在国土空间规划、大连市游艇码头布局专项规划的规划的基础上，考虑安全因素、冰冻地区、企业实际情况，对水上旅游运输码头的选址提出具体要求。</w:t>
      </w:r>
    </w:p>
    <w:p w14:paraId="1495B295">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5.3 设计</w:t>
      </w:r>
    </w:p>
    <w:p w14:paraId="2F545AF3">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5.3.1 总平面布置</w:t>
      </w:r>
    </w:p>
    <w:p w14:paraId="5B78FB7C">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【编制依据】水上旅游运输码头的总平面布置参考了JTS 165-7《游艇码头设计规范》第5章、JTS 165《海港总体设计规范》第5章、第6章的码头水域及航道的相关内容，并结合大连地区旅游运输码头的实际情况确定设计水深的起算面。良好掩护码头且靠泊船舶长度小于</w:t>
      </w:r>
      <w:r>
        <w:rPr>
          <w:rFonts w:hint="default" w:ascii="方正仿宋_GB2312" w:hAnsi="方正仿宋_GB2312" w:eastAsia="方正仿宋_GB2312" w:cs="方正仿宋_GB2312"/>
          <w:szCs w:val="32"/>
          <w:lang w:val="en-US" w:eastAsia="zh-CN"/>
        </w:rPr>
        <w:t>50 m</w:t>
      </w:r>
      <w:r>
        <w:rPr>
          <w:rFonts w:hint="eastAsia" w:ascii="方正仿宋_GB2312" w:hAnsi="方正仿宋_GB2312" w:eastAsia="方正仿宋_GB2312" w:cs="方正仿宋_GB2312"/>
          <w:szCs w:val="32"/>
          <w:lang w:val="en-US" w:eastAsia="zh-CN"/>
        </w:rPr>
        <w:t>的码头水域及航道设计尺度参照</w:t>
      </w:r>
      <w:r>
        <w:rPr>
          <w:rFonts w:hint="default" w:ascii="方正仿宋_GB2312" w:hAnsi="方正仿宋_GB2312" w:eastAsia="方正仿宋_GB2312" w:cs="方正仿宋_GB2312"/>
          <w:szCs w:val="32"/>
          <w:lang w:val="en-US" w:eastAsia="zh-CN"/>
        </w:rPr>
        <w:t>JTS 165-7</w:t>
      </w:r>
      <w:r>
        <w:rPr>
          <w:rFonts w:hint="eastAsia" w:ascii="方正仿宋_GB2312" w:hAnsi="方正仿宋_GB2312" w:eastAsia="方正仿宋_GB2312" w:cs="方正仿宋_GB2312"/>
          <w:szCs w:val="32"/>
          <w:lang w:val="en-US" w:eastAsia="zh-CN"/>
        </w:rPr>
        <w:t>执行，大连市部分码头无法满足大型船舶的进港航道宽度规定，故针开敞式码头、半开敞式码头及靠泊船舶长度大于等于</w:t>
      </w:r>
      <w:r>
        <w:rPr>
          <w:rFonts w:hint="default" w:ascii="方正仿宋_GB2312" w:hAnsi="方正仿宋_GB2312" w:eastAsia="方正仿宋_GB2312" w:cs="方正仿宋_GB2312"/>
          <w:szCs w:val="32"/>
          <w:lang w:val="en-US" w:eastAsia="zh-CN"/>
        </w:rPr>
        <w:t>50 m</w:t>
      </w:r>
      <w:r>
        <w:rPr>
          <w:rFonts w:hint="eastAsia" w:ascii="方正仿宋_GB2312" w:hAnsi="方正仿宋_GB2312" w:eastAsia="方正仿宋_GB2312" w:cs="方正仿宋_GB2312"/>
          <w:szCs w:val="32"/>
          <w:lang w:val="en-US" w:eastAsia="zh-CN"/>
        </w:rPr>
        <w:t>的码头水域及航道设计尺度参考JTS 163《海港总体设计规范》。浮码头趸船主尺度的确定依据JTS 167《码头结构设计规范》趸船主尺度的相关设计内容。关于水上旅游运输码头总平面设计的基本要求参考了DB11/666《游船码头安全设置规范》的相关内容确定本水上运顺码头的总体平面布局。</w:t>
      </w:r>
    </w:p>
    <w:p w14:paraId="3F92C0C9">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5.3.2工艺</w:t>
      </w:r>
    </w:p>
    <w:p w14:paraId="167CEE7E">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【编制依据】参考了DB11/666《游船码头安全设置规范》船岸间连接设施的相关内容，提出了水上旅游运输码头工艺的相关设计要求。</w:t>
      </w:r>
    </w:p>
    <w:p w14:paraId="7C17A12C">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5.3.3水工建筑物</w:t>
      </w:r>
    </w:p>
    <w:p w14:paraId="465ED6DD">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【编制依据】关于水上旅游运输码头的水工建筑物根据其结构型式不同，参考了JTS 165-7《游艇码头设计规范》和JTS 167《码头结构设计规范》提出了水工建筑物的设计要求。根据大连地区水上旅游运输码头的实际使用情况，结合浮箱简易的特点，提出了浮箱人群荷载标准值，对浮箱的单元长度和宽度提出要求，现状部分码头的浮箱单元长度已达到70</w:t>
      </w:r>
      <w:r>
        <w:rPr>
          <w:rFonts w:hint="default" w:ascii="方正仿宋_GB2312" w:hAnsi="方正仿宋_GB2312" w:eastAsia="方正仿宋_GB2312" w:cs="方正仿宋_GB2312"/>
          <w:szCs w:val="32"/>
          <w:lang w:val="en-US" w:eastAsia="zh-CN"/>
        </w:rPr>
        <w:t> </w:t>
      </w:r>
      <w:r>
        <w:rPr>
          <w:rFonts w:hint="eastAsia" w:ascii="方正仿宋_GB2312" w:hAnsi="方正仿宋_GB2312" w:eastAsia="方正仿宋_GB2312" w:cs="方正仿宋_GB2312"/>
          <w:szCs w:val="32"/>
          <w:lang w:val="en-US" w:eastAsia="zh-CN"/>
        </w:rPr>
        <w:t>m。</w:t>
      </w:r>
    </w:p>
    <w:p w14:paraId="52FDF94B">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5.3.4.1 供电</w:t>
      </w:r>
    </w:p>
    <w:p w14:paraId="28CA2365">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供电要求与水上旅游运输码头整体工程设计协同配合，确保供电系统与其他专业接口匹配。根据大连水上旅游运输码头的实际情况，区分临时性码头和永久性码头，有供电需求的水上旅游运输码头参照JTS 165-7《游艇码头设计规范》供电的相关内容进行设计，并结合船型发展提出具备条件的水上旅游运输码头应考虑电动船舶的供电需求。</w:t>
      </w:r>
    </w:p>
    <w:p w14:paraId="58154D85">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5.3.4.2 照明</w:t>
      </w:r>
    </w:p>
    <w:p w14:paraId="4006FCA5">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【编制依据】根据水上旅游运输码头的实际情况，将照明按照有无夜航需求对码头进行分类，有夜航需求的水上旅游运输码头参照JTS 165-7《游艇码头设计规范》照明的相关内容进行设计，无夜航需求的水上旅游运输码头也应在周边道路及配套停车场考虑夜间照明。</w:t>
      </w:r>
    </w:p>
    <w:p w14:paraId="27B0B0FF">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5.3.5 供水</w:t>
      </w:r>
    </w:p>
    <w:p w14:paraId="68D8D2F2">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【编制依据】关于有供水需求的水上旅游运输码头，参照JTS 165-7《游艇码头设计规范》第8.2章节进行设计，并对供水系统提出相关设计要求。</w:t>
      </w:r>
    </w:p>
    <w:p w14:paraId="21FD2831">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5.3.6 消防</w:t>
      </w:r>
    </w:p>
    <w:p w14:paraId="79F79BCF">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【编制依据】关于水上旅游运输码头消防给水系统设计参照JTS 165-7《游艇码头设计规范》确定，同时考虑到大连地区水上旅游运输码头的实际情况，结合码头的调研情况确定水上旅游运输码头消防器材的配置要求。</w:t>
      </w:r>
    </w:p>
    <w:p w14:paraId="426B5261">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5.3.7 助航</w:t>
      </w:r>
    </w:p>
    <w:p w14:paraId="510D063F">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【编制依据】根据大连码头永久性水上旅游运输码头提出助航设计、限速标志牌等内容。关于水上旅游运输码头助航设施的配置依据JTS 165-7《游艇码头设计规范》第8章节，并参考了DB11/666《游船码头安全设置规范》助航设施的相关内容，水上旅游运输码头助航设施的相关配置要求。</w:t>
      </w:r>
    </w:p>
    <w:p w14:paraId="1BE75699">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5.3.8安全、救生</w:t>
      </w:r>
    </w:p>
    <w:p w14:paraId="471B229D">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【编制依据】关于码头设置救生设备和间距、码头的防护、门禁、围网等内容，参考了JTS 165-7 《游艇码头设计规范》第8章的相关要求，并结合对码头的实际调研情况进行了补充。联系桥、引桥和渡板两侧均临海，应设置防护栏杆，栏杆高度1m基本能够达到成年人腰部位置，可以满足防护要求。码头设置人员和行李的安检设备参考了《</w:t>
      </w:r>
      <w:bookmarkStart w:id="0" w:name="_Toc519508588"/>
      <w:r>
        <w:rPr>
          <w:rFonts w:hint="eastAsia" w:ascii="方正仿宋_GB2312" w:hAnsi="方正仿宋_GB2312" w:eastAsia="方正仿宋_GB2312" w:cs="方正仿宋_GB2312"/>
          <w:szCs w:val="32"/>
          <w:lang w:val="en-US" w:eastAsia="zh-CN"/>
        </w:rPr>
        <w:t>客运码头安全管理</w:t>
      </w:r>
      <w:bookmarkEnd w:id="0"/>
      <w:r>
        <w:rPr>
          <w:rFonts w:hint="eastAsia" w:ascii="方正仿宋_GB2312" w:hAnsi="方正仿宋_GB2312" w:eastAsia="方正仿宋_GB2312" w:cs="方正仿宋_GB2312"/>
          <w:szCs w:val="32"/>
          <w:lang w:val="en-US" w:eastAsia="zh-CN"/>
        </w:rPr>
        <w:t>指南》第5章的相关要求，要求对登船旅客及其行李进行检查。</w:t>
      </w:r>
    </w:p>
    <w:p w14:paraId="31B5E8A0">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5.3.9环保</w:t>
      </w:r>
    </w:p>
    <w:p w14:paraId="7D32EA28">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【编制依据】本章依据JTS 165-7《游艇码头设计规范》第8章相关内容，对码头的生活垃圾和污水收集能力提出要求，并积极响应国家生态文明建设号召，倡导码头建设采用绿色环保材料。</w:t>
      </w:r>
    </w:p>
    <w:p w14:paraId="2B513BBA">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5.3.10标识标志</w:t>
      </w:r>
    </w:p>
    <w:p w14:paraId="120073A6">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【编制依据】参考GB/T 10001.1  《公共信息图形符号 第1部分：通用符号》、GB/T 10001.3  《公共信息图形符号 第3部分：客运货运符号》、GB/T 10001.9  《公共信息图形符号 第9部分：无障碍设施符号》、GB 13495.1  《消防安全标志 第1部分:标志》、GB/T 15566.1  《公共信息导向系统 设置原则与要求 第1部分：总则》、GB 15630  《消防安全标志设置要求》、GB/T 20501.1 《公共信息导向系统 导向要素的设计原则与要求 第1部分：总则》等标准内容。并结合对码头调研情况，根据可能发生的风险以及码头的平面布置情况，对码头应设置的安全标志、消防安全标志的种类、尺寸等内容进行明确，对各类标志的安装位置、检查与维护做出要求，并对各类标志的样式等其他要素提出相关标准依据。</w:t>
      </w:r>
    </w:p>
    <w:p w14:paraId="45200354">
      <w:pPr>
        <w:ind w:left="0" w:leftChars="0" w:firstLine="0" w:firstLineChars="0"/>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lang w:val="en-US" w:eastAsia="zh-CN"/>
        </w:rPr>
        <w:t>6</w:t>
      </w:r>
      <w:r>
        <w:t>管理要求</w:t>
      </w:r>
    </w:p>
    <w:p w14:paraId="35908192">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6.1基本要求</w:t>
      </w:r>
    </w:p>
    <w:p w14:paraId="0589556E">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【编制依据】为确定码头管理的主体思想，树立安全第一的管理理念，依据《中华人民共和国安全生产法》《辽宁省企业安全生产主体责任规定》《生</w:t>
      </w:r>
      <w:r>
        <w:rPr>
          <w:rFonts w:hint="default" w:ascii="方正仿宋_GB2312" w:hAnsi="方正仿宋_GB2312" w:eastAsia="方正仿宋_GB2312" w:cs="方正仿宋_GB2312"/>
          <w:szCs w:val="32"/>
          <w:lang w:val="en-US" w:eastAsia="zh-CN"/>
        </w:rPr>
        <w:t>产安全事故应急预案管理办法</w:t>
      </w:r>
      <w:r>
        <w:rPr>
          <w:rFonts w:hint="eastAsia" w:ascii="方正仿宋_GB2312" w:hAnsi="方正仿宋_GB2312" w:eastAsia="方正仿宋_GB2312" w:cs="方正仿宋_GB2312"/>
          <w:szCs w:val="32"/>
          <w:lang w:val="en-US" w:eastAsia="zh-CN"/>
        </w:rPr>
        <w:t>》等相关法律、法规，并参考GB/T 35558《游艇管理服务规范》、JTS 165-7《游艇码头设计规范》等相关标准，提出的管理要求中基本要求内容。</w:t>
      </w:r>
    </w:p>
    <w:p w14:paraId="3575B574">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6.2 人员管理</w:t>
      </w:r>
    </w:p>
    <w:p w14:paraId="19B9C689">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【编制依据】主要参考了GB/T 35558《游艇管理服务规范》第4章节的相关内容。结合我市旅游旺季期间，码头客流量大，人员密集程度高，相应的人员落水、拥挤踩踏、高温中暑等突发情况概率提升，码头工作人员应当具备应急处置知识和能力，码头运营单位有责任定期组织工作人员开展安全培训教育。</w:t>
      </w:r>
    </w:p>
    <w:p w14:paraId="5BFAB6EB">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6.3 服务管理</w:t>
      </w:r>
    </w:p>
    <w:p w14:paraId="5FA9DEB6">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【编制依据】参考DB31/T 1450《旅游码头服务基本要求》、DB 13/T 5435《内陆水域游船码头安全运营规范》标准内容，本章主要考虑为侯船旅客提供便利的服务和设施，从旅客休息、行李寄存、出航信息提示、方向引导、咨询服务等方面提出要求，倡导码头运营单位提供周到细致的服务，提升旅客的游览体验。另外对旅客侯船期间的饮水设施、卫生间、行李存、座椅、信息公告等设施的设置提出建议。</w:t>
      </w:r>
    </w:p>
    <w:p w14:paraId="44C94190">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针对敞开式或半敞开式码头的通道较长，旅客存在落水风险较大，此类码头要求旅客必须穿戴救生衣。</w:t>
      </w:r>
    </w:p>
    <w:p w14:paraId="7FF1CBD1">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6.4作业管理</w:t>
      </w:r>
    </w:p>
    <w:p w14:paraId="0D90D33F">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【编制依据】关于水上旅游运输码头作业管理的要求，参照JTS 165-7《游艇码头设计规范》确定浮动设施及船舶上下岸的作业标准。根据大连地区水上旅游运输码头旅客上下船的实际情况、旅游运输船舶的通航作业标准和浮动设施的撤离要求，根据大连市以往项目经验提出相应的作业管理要求。</w:t>
      </w:r>
    </w:p>
    <w:p w14:paraId="57D85430">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6.5 环境管理</w:t>
      </w:r>
    </w:p>
    <w:p w14:paraId="43787E2E">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参考《中华人民共和国固体废物污染环境防治法》《港口和船舶污染物接收转运及处置设施建设方案》等相关法律法规对生活垃圾、废水以及危险废物转移处置的合法合规性进行要求。码头作为水陆交界点，污染防治对保护水域生态的十分重要，防止污染物入海，船舶维修产生的机油、含油废水属于危险废物，码头应集中收集，不得随意排放。</w:t>
      </w:r>
    </w:p>
    <w:p w14:paraId="2C799D08">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6.6设施设备管理</w:t>
      </w:r>
    </w:p>
    <w:p w14:paraId="07CAD622">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【编制依据】提出企业应规范设备设施管理，依据JTS-310《港口设施维护技术规范》对固定式码头、浮动设施进行定期检测，依据GB 41847《港口防雷与接地技术要求》的相关要求，对码头防雷装置定期检测，操作人员应定期对设备设施进行检查，保证其处于正常工作状态，检验方法参考DB44/T 1592《游艇码头浮桥结构制作安装与检验标准》相关方法。</w:t>
      </w:r>
    </w:p>
    <w:p w14:paraId="01B026B5">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6.7安全</w:t>
      </w:r>
    </w:p>
    <w:p w14:paraId="11134F11">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6.7.1日常安全运营管理</w:t>
      </w:r>
    </w:p>
    <w:p w14:paraId="4DE37CB0">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【编制依据】参考《中华人民共和国安全生产法》的相关条款，码头运营单位应当建立健全全员安全生产责任制，各岗位人员应当严格履行本岗位安全职责。</w:t>
      </w:r>
    </w:p>
    <w:p w14:paraId="2D4085F1">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依据《辽宁省企业安全生产主体责任规定》第二章的相关内容，并结合对码头运营状况的实地调研，罗列出运营单位应当建立的安全管理制度名称。码头运营单位主要负责人、安全负责人应当严格履行各项管理制度并督促相关人员履行职责。运营单位应当结合码头的发展、变化，以及国家相关法律法规、标准规范的更新，定期对安全管理制度进行评估和修订。</w:t>
      </w:r>
    </w:p>
    <w:p w14:paraId="7E46DD5D">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借鉴各类客运站、人员密集场所的往年治安事件案例，结合相关治安规范，为防止人为故意伤害事件发生，要求码头运营单位对旅客及其行李进行安全检查，禁止携带易燃、易爆、有毒、有腐蚀性、放射性和可能危及人身安全的危险物品登船。</w:t>
      </w:r>
    </w:p>
    <w:p w14:paraId="00E6D25C">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考虑旅游旺季，旅客流量大，上、下船频繁可能造成浮动设施上人流冲突堵塞的情况，存在旅客拥挤落水的风险。要求码头运营单位合理安排船舶进出港时间，防止人流冲突情况发生，并优先下船游客先行。浮动设施上通道较窄，旅客嬉戏打闹、私自停留等行为都可能导致意外发生，码头工作人员应当及时制止。</w:t>
      </w:r>
    </w:p>
    <w:p w14:paraId="3CC8B943">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6.7.2 码头检维修作业人员管理</w:t>
      </w:r>
    </w:p>
    <w:p w14:paraId="225A4B4C">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依据《中华人民共和国安全生产法》的相关条款，码头运营单位应与相关方签订安全管理协议，对作业人员进行安全培训教育。本章要求码头运营单位对外来施工人员携带的设备、人员的操作证进行检查、审核，对施工作业过程进行安全监督管理，防止事故发生，涉及到危险作业情况时，履行码头运营单位的相关安全管理制度要求。</w:t>
      </w:r>
    </w:p>
    <w:p w14:paraId="27544DE0">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6.7.3安全检查</w:t>
      </w:r>
    </w:p>
    <w:p w14:paraId="53579879">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【编制依据】本章要求码头运营单位定期对码头的安全设备、设施进行检查，明确了主要负责人、管理人员的检查频次和检查项目。依据《辽宁省企业安全风险分级管控和隐患排查治理通则》、DB21/T 3275《辽宁省企业安全风险分级管控和隐患排查治理通则》相关内容，建立隐患排查台账，对检查发现的问题明确整改措施、责任人、完成时间、整改确认情况，形成闭环管理。</w:t>
      </w:r>
    </w:p>
    <w:p w14:paraId="2F3BB5D0">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6.7.4危险作业管理</w:t>
      </w:r>
    </w:p>
    <w:p w14:paraId="44F5A87C">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结合调研情况，确定大连市水上旅游运输码头目前存在的危险作业类型为动火、临时用电、登高检维修等，危险作业过程事故风险较高，码头运营单位应当严格履行审批制度，落实安全措施，设置安全监护人员，对作业过程进行安全监管。</w:t>
      </w:r>
    </w:p>
    <w:p w14:paraId="25858380">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6.7.5 燃料补给安全要求</w:t>
      </w:r>
    </w:p>
    <w:p w14:paraId="7020C664">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【编制依据】本章依据《道路危险货物运输管理规定》、《危险化学品安全管理条例》等法规，参考JTS 165-7《游艇码头设计规范》第8章的相关内容，结合对码头的实地调研，对码头船舶燃油补给的资质单位、泊位、燃料补给作业等内容做出要求。</w:t>
      </w:r>
    </w:p>
    <w:p w14:paraId="728E7FF1">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6.8.1消防</w:t>
      </w:r>
    </w:p>
    <w:p w14:paraId="2A7810E7">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【编制依据】本章节参考GB 55036《消防设施通用规范》的相关要求，对灭火器的放置和报废标准提出要求。同时参考GB/T 35558《游艇管理服务规范》第5章的相关要求，通过实地调研，明确了码头应针对各自码头存在的风险，制定相应事故类型的应急预案。</w:t>
      </w:r>
    </w:p>
    <w:p w14:paraId="374A3F44">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6.8.2应急</w:t>
      </w:r>
    </w:p>
    <w:p w14:paraId="512789D1">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【编制依据】依据《生</w:t>
      </w:r>
      <w:r>
        <w:rPr>
          <w:rFonts w:hint="default" w:ascii="方正仿宋_GB2312" w:hAnsi="方正仿宋_GB2312" w:eastAsia="方正仿宋_GB2312" w:cs="方正仿宋_GB2312"/>
          <w:szCs w:val="32"/>
          <w:lang w:val="en-US" w:eastAsia="zh-CN"/>
        </w:rPr>
        <w:t>产安全事故应急预案管理办法</w:t>
      </w:r>
      <w:r>
        <w:rPr>
          <w:rFonts w:hint="eastAsia" w:ascii="方正仿宋_GB2312" w:hAnsi="方正仿宋_GB2312" w:eastAsia="方正仿宋_GB2312" w:cs="方正仿宋_GB2312"/>
          <w:szCs w:val="32"/>
          <w:lang w:val="en-US" w:eastAsia="zh-CN"/>
        </w:rPr>
        <w:t>》的相关要求，结合码头实际规模，明确了各类码头应当制定的应急预案类型，以及应急预案修订的时限和条件，提出了应急演练的种类、频次和相关记录等规定。应急预案编写内容应当符合GB/T 29639 《生产经营单位生产安全事故应急预案编制导则》的相关要求。</w:t>
      </w:r>
    </w:p>
    <w:p w14:paraId="3D33A313">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依据《中华人民共和国安全生产法》对事故报告和应急处置的相关条款，提出了发生事故后事故单位应履行的报告和处置程序。结合对码头的实地调研结果，考虑旅客疏散可能造成的次生风险，对疏散过程可能发生的拥挤、踩踏、落水，以及兼顾老弱幼小人群等相关事项作出要求。在情况允许条件下，撤离事故现场周边的船舶，防止事故扩大。事故发生后应保护好事故现场，方便做好事故调查工作，吸取事故经验教训。</w:t>
      </w:r>
    </w:p>
    <w:p w14:paraId="58FEF2A6">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6.9档案管理</w:t>
      </w:r>
    </w:p>
    <w:p w14:paraId="4F967987">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本章对码头运营单位应当长期保存的资料做出规定，对日常安全管理相关资料应当及时分类存档，便于日后的安全管理工作和上级部门的监督检查。档案管理应确定责任人，做好日常各类材料的分类、归档和维护工作。</w:t>
      </w:r>
    </w:p>
    <w:p w14:paraId="75D2695E">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7 监督、评价与改进</w:t>
      </w:r>
    </w:p>
    <w:p w14:paraId="12D12D9D">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【编制依据】为判定水上旅游运输码头建设与管理是否符合标准的要求或服务结果是否达到了预期效果，参考辽宁省标准DB21/T 3845—2023《公安政务服务网办中心建设与管理规范》中监督、评价与改进相关的内容，并根据水上旅游运输码头的实际需要，提出了服务评价和服务改进的具体要求，通过评价表进行评价，使评价内容更加具体，评价表通过走访调研情况结合实际情况进行编写。本标准丰富了水上旅游运输码头持续改进相关内容，对监督方式、评价内容、评价周期等内容进行总结，推动水上旅游运输码头的发展、提升管理服务质量，达到不断改进的目的。该部分内容可作为水上旅游运输码头建设、管理提供系统性管理工具，助力实现安全、高效、可持续的水上旅游服务。</w:t>
      </w:r>
    </w:p>
    <w:p w14:paraId="6B958ABE">
      <w:pPr>
        <w:adjustRightInd w:val="0"/>
        <w:snapToGrid w:val="0"/>
        <w:spacing w:line="360" w:lineRule="auto"/>
        <w:ind w:firstLine="0" w:firstLineChars="0"/>
        <w:outlineLvl w:val="0"/>
        <w:rPr>
          <w:rFonts w:hint="eastAsia" w:ascii="宋体" w:hAnsi="宋体" w:eastAsia="宋体" w:cs="宋体"/>
          <w:b w:val="0"/>
          <w:bCs w:val="0"/>
          <w:color w:val="auto"/>
          <w:sz w:val="30"/>
          <w:szCs w:val="30"/>
          <w:lang w:val="en-US" w:eastAsia="zh-CN"/>
        </w:rPr>
      </w:pPr>
      <w:r>
        <w:rPr>
          <w:rFonts w:hint="eastAsia" w:ascii="宋体" w:hAnsi="宋体" w:eastAsia="宋体" w:cs="宋体"/>
          <w:b w:val="0"/>
          <w:bCs w:val="0"/>
          <w:color w:val="auto"/>
          <w:sz w:val="30"/>
          <w:szCs w:val="30"/>
          <w:lang w:val="en-US" w:eastAsia="zh-CN"/>
        </w:rPr>
        <w:t>附录A</w:t>
      </w:r>
    </w:p>
    <w:p w14:paraId="1386E76A">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A.1</w:t>
      </w:r>
      <w:r>
        <w:rPr>
          <w:rFonts w:hint="eastAsia" w:ascii="方正仿宋_GB2312" w:hAnsi="方正仿宋_GB2312" w:eastAsia="方正仿宋_GB2312" w:cs="方正仿宋_GB2312"/>
          <w:szCs w:val="32"/>
        </w:rPr>
        <w:t>专兼职安全管理人员</w:t>
      </w:r>
    </w:p>
    <w:p w14:paraId="2CC48D19">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default"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码头运营单位安全管理机构、安全管理人员数量应满足《中华人民共和国安全生产法》的相关要求。码头运营单位安全管理人员应参加安全生产培训，考取应急管理部门颁发的安全管理人员证书。经过实地调研，部分码头运营单位码头布置分散，若安全管理人员配备不足，难以保证码头的日常安全检查及各类安全管理工作有效实施，因此要求分散布置的码头应分别配备至少1名安全管理人员，负责各自码头的各项日常安全管理工作。</w:t>
      </w:r>
    </w:p>
    <w:p w14:paraId="779BCE88">
      <w:pPr>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A.2</w:t>
      </w:r>
      <w:r>
        <w:rPr>
          <w:rFonts w:hint="eastAsia" w:ascii="方正仿宋_GB2312" w:hAnsi="方正仿宋_GB2312" w:eastAsia="方正仿宋_GB2312" w:cs="方正仿宋_GB2312"/>
          <w:szCs w:val="32"/>
        </w:rPr>
        <w:t>安全相关岗位及人员配备</w:t>
      </w:r>
    </w:p>
    <w:p w14:paraId="33DBFC76">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lang w:val="en-US" w:eastAsia="zh-CN"/>
        </w:rPr>
      </w:pPr>
      <w:r>
        <w:rPr>
          <w:rFonts w:hint="eastAsia" w:ascii="方正仿宋_GB2312" w:hAnsi="方正仿宋_GB2312" w:eastAsia="方正仿宋_GB2312" w:cs="方正仿宋_GB2312"/>
          <w:szCs w:val="32"/>
          <w:lang w:val="en-US" w:eastAsia="zh-CN"/>
        </w:rPr>
        <w:t>【编制依据】本章根据对现阶段码头运营实际情况的调研，规定了码头应当配备的安全相关岗位及人员配备数量，保障码头的日常安全运营。电气作业涉及特种作业，依据《中华人民共和国安全生产法》的相关要求，取得特种作业人员资格证后上岗作业。</w:t>
      </w:r>
    </w:p>
    <w:p w14:paraId="5BD8AE12">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pPr>
      <w:r>
        <w:rPr>
          <w:rFonts w:hint="eastAsia" w:ascii="方正仿宋_GB2312" w:hAnsi="方正仿宋_GB2312" w:eastAsia="方正仿宋_GB2312" w:cs="方正仿宋_GB2312"/>
          <w:b/>
          <w:bCs/>
          <w:szCs w:val="32"/>
        </w:rPr>
        <w:t>相关技术和经济影响论证、预期的社会经济效益</w:t>
      </w:r>
    </w:p>
    <w:p w14:paraId="5AC59515">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（1）标准的制定可以规范公共服务流程，提升行政效率，保证公共政策的统一性和连贯性；可以提升组织效能、保障质量、促进可持续发展。同时增强透明度和公众信任。</w:t>
      </w:r>
    </w:p>
    <w:p w14:paraId="2B242B78">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2）优质的旅游运输码头本身可以成为旅游景点的一部分，吸引更多游客前来参观和体验。同时，规范的管理能够提高旅游服务的质量和安全性，增强大连市旅游的吸引力和竞争力，有助于吸引更多的国内外游客，提升大连旅游的知名度和美誉度。</w:t>
      </w:r>
    </w:p>
    <w:p w14:paraId="012E60B7">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（3）规范将带动相关产业的发展，为城市创造更多的就业机会和经济收入。例如，码头的建设和运营需要大量的人力、物力和财力，能够刺激投资和消费，促进我市经济的增长。</w:t>
      </w:r>
    </w:p>
    <w:p w14:paraId="7BF302A0">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eastAsia" w:ascii="方正仿宋_GB2312" w:hAnsi="方正仿宋_GB2312" w:eastAsia="方正仿宋_GB2312" w:cs="方正仿宋_GB2312"/>
          <w:b/>
          <w:bCs/>
          <w:szCs w:val="32"/>
        </w:rPr>
      </w:pPr>
      <w:r>
        <w:rPr>
          <w:rFonts w:hint="eastAsia" w:ascii="方正仿宋_GB2312" w:hAnsi="方正仿宋_GB2312" w:eastAsia="方正仿宋_GB2312" w:cs="方正仿宋_GB2312"/>
          <w:b/>
          <w:bCs/>
          <w:szCs w:val="32"/>
        </w:rPr>
        <w:t>与现行有关法律、法规和国家标准、行业标准、地方标准的关系</w:t>
      </w:r>
    </w:p>
    <w:p w14:paraId="54AB667C">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本标准与国家现行标准和相关强制性法律、法规的关系如下：</w:t>
      </w:r>
    </w:p>
    <w:p w14:paraId="247DFDDC">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1.本标准在编制过程中依据了《中华人民共和国港口法》《港口建设管理规定》《游艇安全管理规定》和交通行业标准JTS 16</w:t>
      </w:r>
      <w:r>
        <w:rPr>
          <w:rFonts w:hint="eastAsia" w:ascii="方正仿宋_GB2312" w:hAnsi="方正仿宋_GB2312" w:eastAsia="方正仿宋_GB2312" w:cs="方正仿宋_GB2312"/>
          <w:szCs w:val="32"/>
          <w:lang w:val="en-US" w:eastAsia="zh-CN"/>
        </w:rPr>
        <w:t>5-7</w:t>
      </w:r>
      <w:r>
        <w:rPr>
          <w:rFonts w:hint="eastAsia" w:ascii="方正仿宋_GB2312" w:hAnsi="方正仿宋_GB2312" w:eastAsia="方正仿宋_GB2312" w:cs="方正仿宋_GB2312"/>
          <w:szCs w:val="32"/>
        </w:rPr>
        <w:t>《</w:t>
      </w:r>
      <w:r>
        <w:rPr>
          <w:rFonts w:hint="eastAsia" w:ascii="方正仿宋_GB2312" w:hAnsi="方正仿宋_GB2312" w:eastAsia="方正仿宋_GB2312" w:cs="方正仿宋_GB2312"/>
          <w:szCs w:val="32"/>
          <w:lang w:val="en-US" w:eastAsia="zh-CN"/>
        </w:rPr>
        <w:t>游艇码头设计规范</w:t>
      </w:r>
      <w:r>
        <w:rPr>
          <w:rFonts w:hint="eastAsia" w:ascii="方正仿宋_GB2312" w:hAnsi="方正仿宋_GB2312" w:eastAsia="方正仿宋_GB2312" w:cs="方正仿宋_GB2312"/>
          <w:szCs w:val="32"/>
        </w:rPr>
        <w:t>》、JTS 167《码头结构设计规范》等规定，与相关的法律法规相协调一致。</w:t>
      </w:r>
    </w:p>
    <w:p w14:paraId="62F740A0">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2. 本标准为推荐性地方标准，目前辽宁省暂无对旅游运输码头建设与管理的规范标准，本标准的发布和实施可填补辽宁省的空白。</w:t>
      </w:r>
    </w:p>
    <w:p w14:paraId="5916240E">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eastAsia" w:ascii="方正仿宋_GB2312" w:hAnsi="方正仿宋_GB2312" w:eastAsia="方正仿宋_GB2312" w:cs="方正仿宋_GB2312"/>
          <w:b/>
          <w:bCs/>
          <w:szCs w:val="32"/>
        </w:rPr>
      </w:pPr>
      <w:r>
        <w:rPr>
          <w:rFonts w:hint="eastAsia" w:ascii="方正仿宋_GB2312" w:hAnsi="方正仿宋_GB2312" w:eastAsia="方正仿宋_GB2312" w:cs="方正仿宋_GB2312"/>
          <w:b/>
          <w:bCs/>
          <w:szCs w:val="32"/>
        </w:rPr>
        <w:t>征求意见和分歧处理情况</w:t>
      </w:r>
    </w:p>
    <w:p w14:paraId="55EAD3BB">
      <w:pPr>
        <w:ind w:firstLine="640"/>
        <w:jc w:val="left"/>
        <w:rPr>
          <w:rFonts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目前未收到分歧意见。若有意见反馈，起草单位将认真论证取舍。</w:t>
      </w:r>
    </w:p>
    <w:p w14:paraId="5B8D0377">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eastAsia" w:ascii="方正仿宋_GB2312" w:hAnsi="方正仿宋_GB2312" w:eastAsia="方正仿宋_GB2312" w:cs="方正仿宋_GB2312"/>
          <w:b/>
          <w:bCs/>
          <w:szCs w:val="32"/>
        </w:rPr>
      </w:pPr>
      <w:r>
        <w:rPr>
          <w:rFonts w:hint="eastAsia" w:ascii="方正仿宋_GB2312" w:hAnsi="方正仿宋_GB2312" w:eastAsia="方正仿宋_GB2312" w:cs="方正仿宋_GB2312"/>
          <w:b/>
          <w:bCs/>
          <w:szCs w:val="32"/>
        </w:rPr>
        <w:t xml:space="preserve">推动标准实施的措施建议 </w:t>
      </w:r>
    </w:p>
    <w:p w14:paraId="4CED7D13">
      <w:pPr>
        <w:keepNext w:val="0"/>
        <w:keepLines w:val="0"/>
        <w:widowControl/>
        <w:suppressLineNumbers w:val="0"/>
        <w:jc w:val="left"/>
      </w:pPr>
      <w:r>
        <w:rPr>
          <w:rFonts w:ascii="仿宋" w:hAnsi="仿宋" w:eastAsia="仿宋" w:cs="仿宋"/>
          <w:color w:val="000000"/>
          <w:kern w:val="0"/>
          <w:sz w:val="31"/>
          <w:szCs w:val="31"/>
          <w:lang w:val="en-US" w:eastAsia="zh-CN" w:bidi="ar"/>
        </w:rPr>
        <w:t>标准颁布后，将对大连市</w:t>
      </w:r>
      <w:r>
        <w:rPr>
          <w:rFonts w:hint="eastAsia" w:ascii="仿宋" w:hAnsi="仿宋" w:eastAsia="仿宋" w:cs="仿宋"/>
          <w:color w:val="000000"/>
          <w:kern w:val="0"/>
          <w:sz w:val="31"/>
          <w:szCs w:val="31"/>
          <w:lang w:val="en-US" w:eastAsia="zh-CN" w:bidi="ar"/>
        </w:rPr>
        <w:t>交通局</w:t>
      </w:r>
      <w:r>
        <w:rPr>
          <w:rFonts w:ascii="仿宋" w:hAnsi="仿宋" w:eastAsia="仿宋" w:cs="仿宋"/>
          <w:color w:val="000000"/>
          <w:kern w:val="0"/>
          <w:sz w:val="31"/>
          <w:szCs w:val="31"/>
          <w:lang w:val="en-US" w:eastAsia="zh-CN" w:bidi="ar"/>
        </w:rPr>
        <w:t xml:space="preserve">及各相关单位进行培训， </w:t>
      </w:r>
      <w:r>
        <w:rPr>
          <w:rFonts w:hint="eastAsia" w:ascii="仿宋" w:hAnsi="仿宋" w:eastAsia="仿宋" w:cs="仿宋"/>
          <w:color w:val="000000"/>
          <w:kern w:val="0"/>
          <w:sz w:val="31"/>
          <w:szCs w:val="31"/>
          <w:lang w:val="en-US" w:eastAsia="zh-CN" w:bidi="ar"/>
        </w:rPr>
        <w:t>确保相关单位理解和执行新的标准。</w:t>
      </w:r>
    </w:p>
    <w:p w14:paraId="02AB912E">
      <w:pPr>
        <w:keepNext w:val="0"/>
        <w:keepLines w:val="0"/>
        <w:pageBreakBefore w:val="0"/>
        <w:widowControl w:val="0"/>
        <w:numPr>
          <w:ilvl w:val="0"/>
          <w:numId w:val="2"/>
        </w:numPr>
        <w:kinsoku/>
        <w:wordWrap/>
        <w:overflowPunct/>
        <w:topLinePunct w:val="0"/>
        <w:autoSpaceDE/>
        <w:autoSpaceDN/>
        <w:bidi w:val="0"/>
        <w:adjustRightInd/>
        <w:snapToGrid/>
        <w:ind w:firstLine="0" w:firstLineChars="0"/>
        <w:textAlignment w:val="auto"/>
        <w:rPr>
          <w:rFonts w:hint="eastAsia" w:ascii="方正仿宋_GB2312" w:hAnsi="方正仿宋_GB2312" w:eastAsia="方正仿宋_GB2312" w:cs="方正仿宋_GB2312"/>
          <w:b/>
          <w:bCs/>
          <w:szCs w:val="32"/>
        </w:rPr>
      </w:pPr>
      <w:r>
        <w:rPr>
          <w:rFonts w:hint="eastAsia" w:ascii="方正仿宋_GB2312" w:hAnsi="方正仿宋_GB2312" w:eastAsia="方正仿宋_GB2312" w:cs="方正仿宋_GB2312"/>
          <w:b/>
          <w:bCs/>
          <w:szCs w:val="32"/>
        </w:rPr>
        <w:t>其他应说明的事项</w:t>
      </w:r>
    </w:p>
    <w:p w14:paraId="16C8FCD4">
      <w:pPr>
        <w:keepNext w:val="0"/>
        <w:keepLines w:val="0"/>
        <w:pageBreakBefore w:val="0"/>
        <w:widowControl w:val="0"/>
        <w:kinsoku/>
        <w:wordWrap/>
        <w:overflowPunct/>
        <w:topLinePunct w:val="0"/>
        <w:autoSpaceDE/>
        <w:autoSpaceDN/>
        <w:bidi w:val="0"/>
        <w:adjustRightInd/>
        <w:snapToGrid/>
        <w:spacing w:line="360" w:lineRule="auto"/>
        <w:ind w:firstLine="64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为提高标准质量，请各单位在执行本标准的过程中，注</w:t>
      </w:r>
    </w:p>
    <w:p w14:paraId="6A0753F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方正仿宋_GB2312" w:hAnsi="方正仿宋_GB2312" w:eastAsia="方正仿宋_GB2312" w:cs="方正仿宋_GB2312"/>
          <w:szCs w:val="32"/>
        </w:rPr>
      </w:pPr>
      <w:r>
        <w:rPr>
          <w:rFonts w:hint="eastAsia" w:ascii="方正仿宋_GB2312" w:hAnsi="方正仿宋_GB2312" w:eastAsia="方正仿宋_GB2312" w:cs="方正仿宋_GB2312"/>
          <w:szCs w:val="32"/>
        </w:rPr>
        <w:t>意积累资料，总结经验，如发现需要修改和补充之处，请将意见和有关资料及时反馈给我们，供今后修订参考。</w:t>
      </w:r>
    </w:p>
    <w:p w14:paraId="3A22A0D5">
      <w:pPr>
        <w:ind w:firstLine="0" w:firstLineChars="0"/>
      </w:pPr>
    </w:p>
    <w:sectPr>
      <w:footerReference r:id="rId11"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TimesNewRomanPS-BoldMT">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EAB00">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A92141">
                          <w:pPr>
                            <w:pStyle w:val="8"/>
                            <w:ind w:firstLine="360"/>
                          </w:pPr>
                          <w:r>
                            <w:fldChar w:fldCharType="begin"/>
                          </w:r>
                          <w:r>
                            <w:instrText xml:space="preserve"> PAGE  \* MERGEFORMAT </w:instrText>
                          </w:r>
                          <w:r>
                            <w:fldChar w:fldCharType="separate"/>
                          </w:r>
                          <w:r>
                            <w:t>10</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5EA92141">
                    <w:pPr>
                      <w:pStyle w:val="8"/>
                      <w:ind w:firstLine="360"/>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0AE73">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489BC">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2648530"/>
    </w:sdtPr>
    <w:sdtContent>
      <w:p w14:paraId="53CEE612">
        <w:pPr>
          <w:pStyle w:val="8"/>
          <w:ind w:firstLine="360"/>
          <w:jc w:val="center"/>
        </w:pPr>
        <w:r>
          <w:fldChar w:fldCharType="begin"/>
        </w:r>
        <w:r>
          <w:instrText xml:space="preserve">PAGE   \* MERGEFORMAT</w:instrText>
        </w:r>
        <w:r>
          <w:fldChar w:fldCharType="separate"/>
        </w:r>
        <w:r>
          <w:rPr>
            <w:lang w:val="zh-CN"/>
          </w:rPr>
          <w:t>17</w:t>
        </w:r>
        <w:r>
          <w:fldChar w:fldCharType="end"/>
        </w:r>
      </w:p>
    </w:sdtContent>
  </w:sdt>
  <w:p w14:paraId="600875C3">
    <w:pPr>
      <w:pStyle w:val="8"/>
      <w:tabs>
        <w:tab w:val="clear" w:pos="8306"/>
      </w:tabs>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217D5">
    <w:pPr>
      <w:pStyle w:val="9"/>
      <w:pBdr>
        <w:bottom w:val="none" w:color="auto" w:sz="0" w:space="0"/>
      </w:pBdr>
      <w:ind w:firstLine="36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A72B6">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EF417">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E7441D"/>
    <w:multiLevelType w:val="singleLevel"/>
    <w:tmpl w:val="C6E7441D"/>
    <w:lvl w:ilvl="0" w:tentative="0">
      <w:start w:val="1"/>
      <w:numFmt w:val="chineseCounting"/>
      <w:suff w:val="nothing"/>
      <w:lvlText w:val="%1、"/>
      <w:lvlJc w:val="left"/>
      <w:rPr>
        <w:rFonts w:hint="eastAsia"/>
      </w:rPr>
    </w:lvl>
  </w:abstractNum>
  <w:abstractNum w:abstractNumId="1">
    <w:nsid w:val="3AF8016D"/>
    <w:multiLevelType w:val="singleLevel"/>
    <w:tmpl w:val="3AF8016D"/>
    <w:lvl w:ilvl="0" w:tentative="0">
      <w:start w:val="1"/>
      <w:numFmt w:val="chineseCounting"/>
      <w:suff w:val="nothing"/>
      <w:lvlText w:val="（%1）"/>
      <w:lvlJc w:val="left"/>
      <w:rPr>
        <w:rFonts w:hint="eastAsia"/>
      </w:r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7"/>
      <w:suff w:val="nothing"/>
      <w:lvlText w:val="%1%2　"/>
      <w:lvlJc w:val="left"/>
      <w:pPr>
        <w:ind w:left="0" w:firstLine="0"/>
      </w:pPr>
      <w:rPr>
        <w:rFonts w:hint="eastAsia" w:ascii="黑体" w:eastAsia="黑体"/>
        <w:b w:val="0"/>
        <w:i w:val="0"/>
        <w:sz w:val="21"/>
      </w:rPr>
    </w:lvl>
    <w:lvl w:ilvl="2" w:tentative="0">
      <w:start w:val="1"/>
      <w:numFmt w:val="decimal"/>
      <w:pStyle w:val="2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283" w:firstLine="0"/>
      </w:pPr>
      <w:rPr>
        <w:rFonts w:hint="eastAsia" w:ascii="黑体" w:eastAsia="黑体"/>
        <w:b w:val="0"/>
        <w:i w:val="0"/>
        <w:sz w:val="21"/>
      </w:rPr>
    </w:lvl>
    <w:lvl w:ilvl="4" w:tentative="0">
      <w:start w:val="1"/>
      <w:numFmt w:val="decimal"/>
      <w:suff w:val="nothing"/>
      <w:lvlText w:val="%1%2.%3.%4.%5　"/>
      <w:lvlJc w:val="left"/>
      <w:pPr>
        <w:ind w:left="1134" w:firstLine="0"/>
      </w:pPr>
      <w:rPr>
        <w:rFonts w:hint="eastAsia" w:ascii="黑体" w:eastAsia="黑体"/>
        <w:b w:val="0"/>
        <w:i w:val="0"/>
        <w:sz w:val="21"/>
      </w:rPr>
    </w:lvl>
    <w:lvl w:ilvl="5" w:tentative="0">
      <w:start w:val="1"/>
      <w:numFmt w:val="decimal"/>
      <w:suff w:val="nothing"/>
      <w:lvlText w:val="%1%2.%3.%4.%5.%6　"/>
      <w:lvlJc w:val="left"/>
      <w:pPr>
        <w:ind w:left="1134"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lZmYyZmQ0OWI2NjVhMmIwMTU4NWE4MGIxMzg3ZmMifQ=="/>
  </w:docVars>
  <w:rsids>
    <w:rsidRoot w:val="00172A27"/>
    <w:rsid w:val="000265BB"/>
    <w:rsid w:val="00172A27"/>
    <w:rsid w:val="001C4271"/>
    <w:rsid w:val="00446DC8"/>
    <w:rsid w:val="004B06F7"/>
    <w:rsid w:val="00542795"/>
    <w:rsid w:val="005E56BC"/>
    <w:rsid w:val="00630564"/>
    <w:rsid w:val="006C4063"/>
    <w:rsid w:val="007A6131"/>
    <w:rsid w:val="0087160F"/>
    <w:rsid w:val="008C0D49"/>
    <w:rsid w:val="0091255B"/>
    <w:rsid w:val="009D43C5"/>
    <w:rsid w:val="00A22D22"/>
    <w:rsid w:val="00A4589C"/>
    <w:rsid w:val="00AD2778"/>
    <w:rsid w:val="00AE3A36"/>
    <w:rsid w:val="00BB3B5F"/>
    <w:rsid w:val="00C170C1"/>
    <w:rsid w:val="00D123EB"/>
    <w:rsid w:val="00DD4B41"/>
    <w:rsid w:val="00F27C48"/>
    <w:rsid w:val="00F677B0"/>
    <w:rsid w:val="00FE6B5B"/>
    <w:rsid w:val="01816E58"/>
    <w:rsid w:val="019A0019"/>
    <w:rsid w:val="01A531D9"/>
    <w:rsid w:val="01BC318F"/>
    <w:rsid w:val="01FD641C"/>
    <w:rsid w:val="020B098C"/>
    <w:rsid w:val="023715C0"/>
    <w:rsid w:val="029037B5"/>
    <w:rsid w:val="02A85C61"/>
    <w:rsid w:val="02C80845"/>
    <w:rsid w:val="02CB799F"/>
    <w:rsid w:val="02D21EEA"/>
    <w:rsid w:val="02E860EC"/>
    <w:rsid w:val="032B06A0"/>
    <w:rsid w:val="035F7893"/>
    <w:rsid w:val="036527C3"/>
    <w:rsid w:val="03756894"/>
    <w:rsid w:val="03DF4999"/>
    <w:rsid w:val="03E30C15"/>
    <w:rsid w:val="048216A2"/>
    <w:rsid w:val="04B37223"/>
    <w:rsid w:val="04CC10EA"/>
    <w:rsid w:val="04EF4348"/>
    <w:rsid w:val="05294CD1"/>
    <w:rsid w:val="0548455F"/>
    <w:rsid w:val="056A6827"/>
    <w:rsid w:val="058A4FE5"/>
    <w:rsid w:val="059C39D4"/>
    <w:rsid w:val="05A23B28"/>
    <w:rsid w:val="05C06BF1"/>
    <w:rsid w:val="05D21C9E"/>
    <w:rsid w:val="06105B36"/>
    <w:rsid w:val="061C292C"/>
    <w:rsid w:val="0625473D"/>
    <w:rsid w:val="06397D54"/>
    <w:rsid w:val="066D5DD3"/>
    <w:rsid w:val="067A4160"/>
    <w:rsid w:val="06917DF9"/>
    <w:rsid w:val="06BC7F2B"/>
    <w:rsid w:val="06D20F9A"/>
    <w:rsid w:val="0703249B"/>
    <w:rsid w:val="07095B6F"/>
    <w:rsid w:val="073347D0"/>
    <w:rsid w:val="07587AB4"/>
    <w:rsid w:val="0763698D"/>
    <w:rsid w:val="07662740"/>
    <w:rsid w:val="07A22159"/>
    <w:rsid w:val="07A77130"/>
    <w:rsid w:val="07CC5A14"/>
    <w:rsid w:val="07DD22BE"/>
    <w:rsid w:val="08181162"/>
    <w:rsid w:val="081A729F"/>
    <w:rsid w:val="081C07C1"/>
    <w:rsid w:val="08653186"/>
    <w:rsid w:val="087975DD"/>
    <w:rsid w:val="08870BD6"/>
    <w:rsid w:val="088D030C"/>
    <w:rsid w:val="08967214"/>
    <w:rsid w:val="089C15AB"/>
    <w:rsid w:val="08B65B08"/>
    <w:rsid w:val="08C63220"/>
    <w:rsid w:val="08C85E69"/>
    <w:rsid w:val="08F02AF3"/>
    <w:rsid w:val="090565E0"/>
    <w:rsid w:val="09340A8A"/>
    <w:rsid w:val="093410C0"/>
    <w:rsid w:val="093F02C0"/>
    <w:rsid w:val="095B4F98"/>
    <w:rsid w:val="097109B1"/>
    <w:rsid w:val="09842A38"/>
    <w:rsid w:val="098C456C"/>
    <w:rsid w:val="09903B83"/>
    <w:rsid w:val="09BF74A1"/>
    <w:rsid w:val="09D30413"/>
    <w:rsid w:val="09F9559D"/>
    <w:rsid w:val="0A416BA7"/>
    <w:rsid w:val="0A6A3C89"/>
    <w:rsid w:val="0A6E3EC8"/>
    <w:rsid w:val="0A7568C4"/>
    <w:rsid w:val="0A836648"/>
    <w:rsid w:val="0A921C87"/>
    <w:rsid w:val="0A983CFC"/>
    <w:rsid w:val="0AA163FE"/>
    <w:rsid w:val="0AF214A7"/>
    <w:rsid w:val="0B1418CD"/>
    <w:rsid w:val="0B5A64BF"/>
    <w:rsid w:val="0B5F171D"/>
    <w:rsid w:val="0B812654"/>
    <w:rsid w:val="0B9B5551"/>
    <w:rsid w:val="0BC071B7"/>
    <w:rsid w:val="0C3A77C6"/>
    <w:rsid w:val="0C7D63A8"/>
    <w:rsid w:val="0CA11DC5"/>
    <w:rsid w:val="0CA522ED"/>
    <w:rsid w:val="0CC537F8"/>
    <w:rsid w:val="0D0903DE"/>
    <w:rsid w:val="0D0E5D6A"/>
    <w:rsid w:val="0D4269FF"/>
    <w:rsid w:val="0D88412A"/>
    <w:rsid w:val="0D8F5E24"/>
    <w:rsid w:val="0DA80E72"/>
    <w:rsid w:val="0DAB71FE"/>
    <w:rsid w:val="0DB50E56"/>
    <w:rsid w:val="0DFA0603"/>
    <w:rsid w:val="0E015098"/>
    <w:rsid w:val="0E095FEC"/>
    <w:rsid w:val="0E0F6CD5"/>
    <w:rsid w:val="0E22116A"/>
    <w:rsid w:val="0E2D4415"/>
    <w:rsid w:val="0E315B2F"/>
    <w:rsid w:val="0E376FD8"/>
    <w:rsid w:val="0E4B4DB6"/>
    <w:rsid w:val="0E566296"/>
    <w:rsid w:val="0E5C7118"/>
    <w:rsid w:val="0E6B3522"/>
    <w:rsid w:val="0E7E10BA"/>
    <w:rsid w:val="0E852A70"/>
    <w:rsid w:val="0EA61F9C"/>
    <w:rsid w:val="0EAD2705"/>
    <w:rsid w:val="0EED6FF0"/>
    <w:rsid w:val="0F210B73"/>
    <w:rsid w:val="0F3E77D0"/>
    <w:rsid w:val="0F447A02"/>
    <w:rsid w:val="0F5A4106"/>
    <w:rsid w:val="0F7E46BF"/>
    <w:rsid w:val="0F9207D1"/>
    <w:rsid w:val="0FD40E1E"/>
    <w:rsid w:val="0FDF6D96"/>
    <w:rsid w:val="101468E8"/>
    <w:rsid w:val="102E3932"/>
    <w:rsid w:val="107A03AA"/>
    <w:rsid w:val="10AC7424"/>
    <w:rsid w:val="10B53F05"/>
    <w:rsid w:val="11011DF3"/>
    <w:rsid w:val="112459E0"/>
    <w:rsid w:val="112E3A1F"/>
    <w:rsid w:val="114925EC"/>
    <w:rsid w:val="114C4B8C"/>
    <w:rsid w:val="115C05DF"/>
    <w:rsid w:val="118578B2"/>
    <w:rsid w:val="11DD0317"/>
    <w:rsid w:val="11DF2E61"/>
    <w:rsid w:val="11EA6EBB"/>
    <w:rsid w:val="11FD0E90"/>
    <w:rsid w:val="12204C7A"/>
    <w:rsid w:val="125068CA"/>
    <w:rsid w:val="12581F15"/>
    <w:rsid w:val="125B7E4F"/>
    <w:rsid w:val="12647C9E"/>
    <w:rsid w:val="12921E19"/>
    <w:rsid w:val="12AD3013"/>
    <w:rsid w:val="12B63B9F"/>
    <w:rsid w:val="12D55667"/>
    <w:rsid w:val="12F322F5"/>
    <w:rsid w:val="130D5A70"/>
    <w:rsid w:val="130F0382"/>
    <w:rsid w:val="13261560"/>
    <w:rsid w:val="133C1745"/>
    <w:rsid w:val="13491ED8"/>
    <w:rsid w:val="13AC461E"/>
    <w:rsid w:val="13CE1DBA"/>
    <w:rsid w:val="13D76999"/>
    <w:rsid w:val="13FD654D"/>
    <w:rsid w:val="140A1052"/>
    <w:rsid w:val="140B49CE"/>
    <w:rsid w:val="14311F90"/>
    <w:rsid w:val="14661AA4"/>
    <w:rsid w:val="14AB0DB3"/>
    <w:rsid w:val="14CF75B8"/>
    <w:rsid w:val="14DD6D4C"/>
    <w:rsid w:val="15095DAE"/>
    <w:rsid w:val="152B4AF6"/>
    <w:rsid w:val="15545A1C"/>
    <w:rsid w:val="1585145A"/>
    <w:rsid w:val="15C03212"/>
    <w:rsid w:val="15E430CA"/>
    <w:rsid w:val="162F2E66"/>
    <w:rsid w:val="16617B54"/>
    <w:rsid w:val="16642241"/>
    <w:rsid w:val="16B02652"/>
    <w:rsid w:val="16D0392D"/>
    <w:rsid w:val="16D74011"/>
    <w:rsid w:val="16FF1BC5"/>
    <w:rsid w:val="170E11F8"/>
    <w:rsid w:val="1774570F"/>
    <w:rsid w:val="177903C4"/>
    <w:rsid w:val="178E03E0"/>
    <w:rsid w:val="17C76AA6"/>
    <w:rsid w:val="17D16984"/>
    <w:rsid w:val="17EE0036"/>
    <w:rsid w:val="17EE5893"/>
    <w:rsid w:val="17F31AF6"/>
    <w:rsid w:val="17FF2FA3"/>
    <w:rsid w:val="181F2070"/>
    <w:rsid w:val="1829431D"/>
    <w:rsid w:val="183A2F5A"/>
    <w:rsid w:val="18543932"/>
    <w:rsid w:val="185F1C15"/>
    <w:rsid w:val="18B736C4"/>
    <w:rsid w:val="18C82E81"/>
    <w:rsid w:val="19737585"/>
    <w:rsid w:val="198D7353"/>
    <w:rsid w:val="19923075"/>
    <w:rsid w:val="199C0212"/>
    <w:rsid w:val="19D24F2B"/>
    <w:rsid w:val="19D26AD1"/>
    <w:rsid w:val="19D66E6D"/>
    <w:rsid w:val="1A3633F4"/>
    <w:rsid w:val="1A4102D8"/>
    <w:rsid w:val="1A451E40"/>
    <w:rsid w:val="1ACC7061"/>
    <w:rsid w:val="1AE121A1"/>
    <w:rsid w:val="1B12613C"/>
    <w:rsid w:val="1B1F36D0"/>
    <w:rsid w:val="1B537676"/>
    <w:rsid w:val="1B9B04EA"/>
    <w:rsid w:val="1BC54F4A"/>
    <w:rsid w:val="1C1F77A3"/>
    <w:rsid w:val="1C736561"/>
    <w:rsid w:val="1C94041A"/>
    <w:rsid w:val="1CA31DB7"/>
    <w:rsid w:val="1CD43549"/>
    <w:rsid w:val="1D0E54C6"/>
    <w:rsid w:val="1D1513CB"/>
    <w:rsid w:val="1D1A23CD"/>
    <w:rsid w:val="1D237667"/>
    <w:rsid w:val="1DCC42A0"/>
    <w:rsid w:val="1DCF0ABA"/>
    <w:rsid w:val="1E1667CB"/>
    <w:rsid w:val="1E1A0CF2"/>
    <w:rsid w:val="1E6C6B5D"/>
    <w:rsid w:val="1E751D92"/>
    <w:rsid w:val="1E8B422F"/>
    <w:rsid w:val="1EB85FE0"/>
    <w:rsid w:val="1EBB0582"/>
    <w:rsid w:val="1EE935E1"/>
    <w:rsid w:val="1EEB48F2"/>
    <w:rsid w:val="1EF2299B"/>
    <w:rsid w:val="1EFB7C94"/>
    <w:rsid w:val="1F6B4238"/>
    <w:rsid w:val="1F9C0BA4"/>
    <w:rsid w:val="1FBF04AB"/>
    <w:rsid w:val="1FBF75FA"/>
    <w:rsid w:val="1FCB7DCB"/>
    <w:rsid w:val="1FDF5B75"/>
    <w:rsid w:val="204316C6"/>
    <w:rsid w:val="208104AB"/>
    <w:rsid w:val="209D3369"/>
    <w:rsid w:val="20A73EF5"/>
    <w:rsid w:val="20DD0C6D"/>
    <w:rsid w:val="2101586E"/>
    <w:rsid w:val="2103103D"/>
    <w:rsid w:val="21041EA2"/>
    <w:rsid w:val="212134BA"/>
    <w:rsid w:val="213224EA"/>
    <w:rsid w:val="21400278"/>
    <w:rsid w:val="217D460F"/>
    <w:rsid w:val="21C75177"/>
    <w:rsid w:val="21FC34BF"/>
    <w:rsid w:val="222B707F"/>
    <w:rsid w:val="22425114"/>
    <w:rsid w:val="224E082C"/>
    <w:rsid w:val="228424CD"/>
    <w:rsid w:val="22876F0A"/>
    <w:rsid w:val="22B8322E"/>
    <w:rsid w:val="22BA62C4"/>
    <w:rsid w:val="22C5556B"/>
    <w:rsid w:val="22DF4E2F"/>
    <w:rsid w:val="22F576E9"/>
    <w:rsid w:val="22F632B8"/>
    <w:rsid w:val="232E3BD5"/>
    <w:rsid w:val="23442169"/>
    <w:rsid w:val="23827B01"/>
    <w:rsid w:val="239E2898"/>
    <w:rsid w:val="240D7492"/>
    <w:rsid w:val="24170EB8"/>
    <w:rsid w:val="241B592D"/>
    <w:rsid w:val="24503EA8"/>
    <w:rsid w:val="24594A40"/>
    <w:rsid w:val="2463559A"/>
    <w:rsid w:val="24795C1B"/>
    <w:rsid w:val="24AF5808"/>
    <w:rsid w:val="24C61976"/>
    <w:rsid w:val="24C648E7"/>
    <w:rsid w:val="25135B9E"/>
    <w:rsid w:val="254C1B4C"/>
    <w:rsid w:val="255C6C18"/>
    <w:rsid w:val="257558C7"/>
    <w:rsid w:val="25BE4C76"/>
    <w:rsid w:val="25C41DB0"/>
    <w:rsid w:val="25F36D38"/>
    <w:rsid w:val="26090CE3"/>
    <w:rsid w:val="26271804"/>
    <w:rsid w:val="26674BE7"/>
    <w:rsid w:val="266C6AF9"/>
    <w:rsid w:val="267E51A0"/>
    <w:rsid w:val="26A33200"/>
    <w:rsid w:val="26AC276D"/>
    <w:rsid w:val="26C239A4"/>
    <w:rsid w:val="27251876"/>
    <w:rsid w:val="273E59E4"/>
    <w:rsid w:val="276B1DB7"/>
    <w:rsid w:val="277E0CA9"/>
    <w:rsid w:val="27C57753"/>
    <w:rsid w:val="27DA7FD1"/>
    <w:rsid w:val="27FD237F"/>
    <w:rsid w:val="281C60CB"/>
    <w:rsid w:val="288075A2"/>
    <w:rsid w:val="288D470A"/>
    <w:rsid w:val="28D871C6"/>
    <w:rsid w:val="28DA1F18"/>
    <w:rsid w:val="28F91AED"/>
    <w:rsid w:val="293B41BF"/>
    <w:rsid w:val="297E3C2D"/>
    <w:rsid w:val="2992184E"/>
    <w:rsid w:val="29BD0A3F"/>
    <w:rsid w:val="29C35D02"/>
    <w:rsid w:val="29E0165E"/>
    <w:rsid w:val="29F500EF"/>
    <w:rsid w:val="29F706B9"/>
    <w:rsid w:val="2A0D5087"/>
    <w:rsid w:val="2A197580"/>
    <w:rsid w:val="2A1B3CEE"/>
    <w:rsid w:val="2A605CCA"/>
    <w:rsid w:val="2A7379CA"/>
    <w:rsid w:val="2A7E40E2"/>
    <w:rsid w:val="2AAF2721"/>
    <w:rsid w:val="2AC9478C"/>
    <w:rsid w:val="2AD4457A"/>
    <w:rsid w:val="2B0B3913"/>
    <w:rsid w:val="2B194928"/>
    <w:rsid w:val="2B286F1D"/>
    <w:rsid w:val="2B6F249C"/>
    <w:rsid w:val="2B7F232D"/>
    <w:rsid w:val="2B833829"/>
    <w:rsid w:val="2BAA73AE"/>
    <w:rsid w:val="2BC031BD"/>
    <w:rsid w:val="2BD40180"/>
    <w:rsid w:val="2BE4783E"/>
    <w:rsid w:val="2BF37697"/>
    <w:rsid w:val="2C0D655E"/>
    <w:rsid w:val="2C1B65DE"/>
    <w:rsid w:val="2C3D7915"/>
    <w:rsid w:val="2C726E9C"/>
    <w:rsid w:val="2C732F4D"/>
    <w:rsid w:val="2C800560"/>
    <w:rsid w:val="2C8335D9"/>
    <w:rsid w:val="2CB20460"/>
    <w:rsid w:val="2CB75277"/>
    <w:rsid w:val="2CBF1C32"/>
    <w:rsid w:val="2CD6755E"/>
    <w:rsid w:val="2CD863F7"/>
    <w:rsid w:val="2D0C2B22"/>
    <w:rsid w:val="2D152D17"/>
    <w:rsid w:val="2D1A3708"/>
    <w:rsid w:val="2D5729E0"/>
    <w:rsid w:val="2D766B63"/>
    <w:rsid w:val="2DC45A56"/>
    <w:rsid w:val="2DC66D9A"/>
    <w:rsid w:val="2DD47955"/>
    <w:rsid w:val="2DD564C8"/>
    <w:rsid w:val="2DDE1486"/>
    <w:rsid w:val="2DE260EB"/>
    <w:rsid w:val="2E492191"/>
    <w:rsid w:val="2E942F84"/>
    <w:rsid w:val="2EBC1FFE"/>
    <w:rsid w:val="2EC906BC"/>
    <w:rsid w:val="2EDD2ADD"/>
    <w:rsid w:val="2EE3610F"/>
    <w:rsid w:val="2EFE4C8F"/>
    <w:rsid w:val="2F2D4D7B"/>
    <w:rsid w:val="2F3F4F52"/>
    <w:rsid w:val="2F4B5244"/>
    <w:rsid w:val="2F6556DC"/>
    <w:rsid w:val="2F6A4A11"/>
    <w:rsid w:val="2F755EC9"/>
    <w:rsid w:val="2F9468A2"/>
    <w:rsid w:val="2F9F1FFB"/>
    <w:rsid w:val="2FA111EC"/>
    <w:rsid w:val="2FB70C8B"/>
    <w:rsid w:val="2FCC7FAC"/>
    <w:rsid w:val="2FEF0B88"/>
    <w:rsid w:val="30202800"/>
    <w:rsid w:val="306A326C"/>
    <w:rsid w:val="30C34E4C"/>
    <w:rsid w:val="30D115AF"/>
    <w:rsid w:val="30F84433"/>
    <w:rsid w:val="31217E01"/>
    <w:rsid w:val="31413CF2"/>
    <w:rsid w:val="317A2227"/>
    <w:rsid w:val="31C0543E"/>
    <w:rsid w:val="31E94DD1"/>
    <w:rsid w:val="32024E86"/>
    <w:rsid w:val="32421104"/>
    <w:rsid w:val="32531492"/>
    <w:rsid w:val="32653BE8"/>
    <w:rsid w:val="3279360C"/>
    <w:rsid w:val="327D0B65"/>
    <w:rsid w:val="327E4C5E"/>
    <w:rsid w:val="32832222"/>
    <w:rsid w:val="328E53AF"/>
    <w:rsid w:val="32A2302E"/>
    <w:rsid w:val="32A52872"/>
    <w:rsid w:val="32FE4A82"/>
    <w:rsid w:val="331040CC"/>
    <w:rsid w:val="33306033"/>
    <w:rsid w:val="33537AF7"/>
    <w:rsid w:val="3369444F"/>
    <w:rsid w:val="33792783"/>
    <w:rsid w:val="33B32273"/>
    <w:rsid w:val="34273B5B"/>
    <w:rsid w:val="34480EBB"/>
    <w:rsid w:val="3455070E"/>
    <w:rsid w:val="346819D0"/>
    <w:rsid w:val="34845668"/>
    <w:rsid w:val="349159A7"/>
    <w:rsid w:val="34BA0D1F"/>
    <w:rsid w:val="34CF3216"/>
    <w:rsid w:val="3503669C"/>
    <w:rsid w:val="356A657D"/>
    <w:rsid w:val="356B5412"/>
    <w:rsid w:val="35756E65"/>
    <w:rsid w:val="35D553CF"/>
    <w:rsid w:val="360448AB"/>
    <w:rsid w:val="36510089"/>
    <w:rsid w:val="36AF79FC"/>
    <w:rsid w:val="36CD085B"/>
    <w:rsid w:val="36DB2FE7"/>
    <w:rsid w:val="36DD531A"/>
    <w:rsid w:val="37260269"/>
    <w:rsid w:val="372A0784"/>
    <w:rsid w:val="3743422E"/>
    <w:rsid w:val="37454690"/>
    <w:rsid w:val="375F063D"/>
    <w:rsid w:val="3795374E"/>
    <w:rsid w:val="37964B3F"/>
    <w:rsid w:val="37BE763F"/>
    <w:rsid w:val="37C94A9E"/>
    <w:rsid w:val="37D03331"/>
    <w:rsid w:val="37D24DB2"/>
    <w:rsid w:val="37F124AB"/>
    <w:rsid w:val="390C0F2B"/>
    <w:rsid w:val="3924666B"/>
    <w:rsid w:val="39290F99"/>
    <w:rsid w:val="392C5C19"/>
    <w:rsid w:val="398A2EBC"/>
    <w:rsid w:val="399474A5"/>
    <w:rsid w:val="39BF5E15"/>
    <w:rsid w:val="39E22E1B"/>
    <w:rsid w:val="39E52BEE"/>
    <w:rsid w:val="39E818F3"/>
    <w:rsid w:val="39EC6CE0"/>
    <w:rsid w:val="3A2E12DA"/>
    <w:rsid w:val="3A3F3902"/>
    <w:rsid w:val="3A41228F"/>
    <w:rsid w:val="3A4C30BF"/>
    <w:rsid w:val="3A4F1A44"/>
    <w:rsid w:val="3A630195"/>
    <w:rsid w:val="3A6E3C55"/>
    <w:rsid w:val="3A791D5C"/>
    <w:rsid w:val="3AB556F7"/>
    <w:rsid w:val="3AC20E0B"/>
    <w:rsid w:val="3AC805D9"/>
    <w:rsid w:val="3AD10595"/>
    <w:rsid w:val="3AFB5B84"/>
    <w:rsid w:val="3B203811"/>
    <w:rsid w:val="3B422DA7"/>
    <w:rsid w:val="3B5135F0"/>
    <w:rsid w:val="3B654BE6"/>
    <w:rsid w:val="3B6B3E80"/>
    <w:rsid w:val="3BA37542"/>
    <w:rsid w:val="3BB457F1"/>
    <w:rsid w:val="3BE67613"/>
    <w:rsid w:val="3BF53F8F"/>
    <w:rsid w:val="3BFA4291"/>
    <w:rsid w:val="3C431164"/>
    <w:rsid w:val="3C4D11C2"/>
    <w:rsid w:val="3C5523E0"/>
    <w:rsid w:val="3C7C7D62"/>
    <w:rsid w:val="3C7F28E7"/>
    <w:rsid w:val="3CBC66A4"/>
    <w:rsid w:val="3CDA3C05"/>
    <w:rsid w:val="3CFD7F2C"/>
    <w:rsid w:val="3D00789A"/>
    <w:rsid w:val="3D0C1DB1"/>
    <w:rsid w:val="3D1D5F23"/>
    <w:rsid w:val="3D414F14"/>
    <w:rsid w:val="3DA00B48"/>
    <w:rsid w:val="3DB06F96"/>
    <w:rsid w:val="3DC84908"/>
    <w:rsid w:val="3DCF1E55"/>
    <w:rsid w:val="3DF369AD"/>
    <w:rsid w:val="3E143028"/>
    <w:rsid w:val="3E394A5B"/>
    <w:rsid w:val="3E5B60FE"/>
    <w:rsid w:val="3E9560F0"/>
    <w:rsid w:val="3EB24296"/>
    <w:rsid w:val="3EBE366D"/>
    <w:rsid w:val="3ED6568C"/>
    <w:rsid w:val="3ED84D22"/>
    <w:rsid w:val="3EF64436"/>
    <w:rsid w:val="3F1039C0"/>
    <w:rsid w:val="3F3524B8"/>
    <w:rsid w:val="3F3D7D76"/>
    <w:rsid w:val="3F7A0397"/>
    <w:rsid w:val="3FAF73A7"/>
    <w:rsid w:val="406D49BB"/>
    <w:rsid w:val="409D3020"/>
    <w:rsid w:val="40C72C26"/>
    <w:rsid w:val="40E872F7"/>
    <w:rsid w:val="41071F7B"/>
    <w:rsid w:val="415F1314"/>
    <w:rsid w:val="41614AA5"/>
    <w:rsid w:val="4182577A"/>
    <w:rsid w:val="423F3A23"/>
    <w:rsid w:val="42741E0B"/>
    <w:rsid w:val="42945B58"/>
    <w:rsid w:val="42AA3679"/>
    <w:rsid w:val="42B1011F"/>
    <w:rsid w:val="42C73922"/>
    <w:rsid w:val="42CF413E"/>
    <w:rsid w:val="42FA4FCC"/>
    <w:rsid w:val="43151A52"/>
    <w:rsid w:val="436442CB"/>
    <w:rsid w:val="43722A3D"/>
    <w:rsid w:val="43F508AD"/>
    <w:rsid w:val="4424116B"/>
    <w:rsid w:val="44283E11"/>
    <w:rsid w:val="4460438D"/>
    <w:rsid w:val="44A81028"/>
    <w:rsid w:val="44AD781C"/>
    <w:rsid w:val="44D209C8"/>
    <w:rsid w:val="44E53E09"/>
    <w:rsid w:val="45435773"/>
    <w:rsid w:val="45653F71"/>
    <w:rsid w:val="4577053F"/>
    <w:rsid w:val="4578104F"/>
    <w:rsid w:val="458E3D11"/>
    <w:rsid w:val="45994153"/>
    <w:rsid w:val="45C803E6"/>
    <w:rsid w:val="466A693B"/>
    <w:rsid w:val="466D4690"/>
    <w:rsid w:val="46836F2E"/>
    <w:rsid w:val="46B6423F"/>
    <w:rsid w:val="46BF274B"/>
    <w:rsid w:val="46BF3CC3"/>
    <w:rsid w:val="46E424DE"/>
    <w:rsid w:val="46E43036"/>
    <w:rsid w:val="47090E61"/>
    <w:rsid w:val="47254812"/>
    <w:rsid w:val="47377BA4"/>
    <w:rsid w:val="473D37ED"/>
    <w:rsid w:val="473F6F77"/>
    <w:rsid w:val="4748002E"/>
    <w:rsid w:val="47A76CB9"/>
    <w:rsid w:val="47B938EB"/>
    <w:rsid w:val="47C307BC"/>
    <w:rsid w:val="47E572FD"/>
    <w:rsid w:val="47FE13A4"/>
    <w:rsid w:val="48180ACC"/>
    <w:rsid w:val="48376210"/>
    <w:rsid w:val="4854619B"/>
    <w:rsid w:val="485F790A"/>
    <w:rsid w:val="4882788B"/>
    <w:rsid w:val="48A01688"/>
    <w:rsid w:val="48C611AF"/>
    <w:rsid w:val="48D05826"/>
    <w:rsid w:val="491370DD"/>
    <w:rsid w:val="492D7127"/>
    <w:rsid w:val="492D7C53"/>
    <w:rsid w:val="49306110"/>
    <w:rsid w:val="49620488"/>
    <w:rsid w:val="4977360E"/>
    <w:rsid w:val="49851DDD"/>
    <w:rsid w:val="49870BE5"/>
    <w:rsid w:val="499A2803"/>
    <w:rsid w:val="49C83EED"/>
    <w:rsid w:val="49F258D9"/>
    <w:rsid w:val="4A190B67"/>
    <w:rsid w:val="4A220251"/>
    <w:rsid w:val="4A967D5C"/>
    <w:rsid w:val="4A9F7191"/>
    <w:rsid w:val="4AC82F8D"/>
    <w:rsid w:val="4B2A7542"/>
    <w:rsid w:val="4B4B3C78"/>
    <w:rsid w:val="4B74354C"/>
    <w:rsid w:val="4B914ABC"/>
    <w:rsid w:val="4BB43CDD"/>
    <w:rsid w:val="4BEA73E8"/>
    <w:rsid w:val="4C7616FE"/>
    <w:rsid w:val="4C8B76B2"/>
    <w:rsid w:val="4D2D2CB1"/>
    <w:rsid w:val="4D2E7111"/>
    <w:rsid w:val="4D464569"/>
    <w:rsid w:val="4D6778B0"/>
    <w:rsid w:val="4D87071B"/>
    <w:rsid w:val="4D9C444E"/>
    <w:rsid w:val="4DA1431B"/>
    <w:rsid w:val="4E0B2CF5"/>
    <w:rsid w:val="4E3C12ED"/>
    <w:rsid w:val="4E3F2031"/>
    <w:rsid w:val="4E557C45"/>
    <w:rsid w:val="4E797E0C"/>
    <w:rsid w:val="4E8C6612"/>
    <w:rsid w:val="4EDB5693"/>
    <w:rsid w:val="4EEF40EF"/>
    <w:rsid w:val="4F114E2D"/>
    <w:rsid w:val="4F2E5C9F"/>
    <w:rsid w:val="4F987804"/>
    <w:rsid w:val="4FB17E3E"/>
    <w:rsid w:val="4FC77AC6"/>
    <w:rsid w:val="4FD0271F"/>
    <w:rsid w:val="4FF57B7A"/>
    <w:rsid w:val="502E6318"/>
    <w:rsid w:val="504C328F"/>
    <w:rsid w:val="50615E34"/>
    <w:rsid w:val="50EB5756"/>
    <w:rsid w:val="50EC39CD"/>
    <w:rsid w:val="511A0310"/>
    <w:rsid w:val="5125708E"/>
    <w:rsid w:val="513B267E"/>
    <w:rsid w:val="51421385"/>
    <w:rsid w:val="51421A78"/>
    <w:rsid w:val="515753C3"/>
    <w:rsid w:val="51890B0D"/>
    <w:rsid w:val="519D6614"/>
    <w:rsid w:val="51AC5AF7"/>
    <w:rsid w:val="51BA2BE7"/>
    <w:rsid w:val="51DE2280"/>
    <w:rsid w:val="51E34CBD"/>
    <w:rsid w:val="51EC619E"/>
    <w:rsid w:val="51F42888"/>
    <w:rsid w:val="520D56D8"/>
    <w:rsid w:val="521F41F5"/>
    <w:rsid w:val="52455772"/>
    <w:rsid w:val="525B6FA3"/>
    <w:rsid w:val="52727002"/>
    <w:rsid w:val="52CC314D"/>
    <w:rsid w:val="52F61D3B"/>
    <w:rsid w:val="530F7366"/>
    <w:rsid w:val="532F7217"/>
    <w:rsid w:val="53402EF8"/>
    <w:rsid w:val="536B49B7"/>
    <w:rsid w:val="53B52A3D"/>
    <w:rsid w:val="53B910F0"/>
    <w:rsid w:val="53E36F18"/>
    <w:rsid w:val="53E94C60"/>
    <w:rsid w:val="54032A01"/>
    <w:rsid w:val="54096C7F"/>
    <w:rsid w:val="540D59CD"/>
    <w:rsid w:val="54265EE9"/>
    <w:rsid w:val="542A0E31"/>
    <w:rsid w:val="543C5B7E"/>
    <w:rsid w:val="545B3F57"/>
    <w:rsid w:val="54635258"/>
    <w:rsid w:val="546B2D45"/>
    <w:rsid w:val="54A0075D"/>
    <w:rsid w:val="54A52D15"/>
    <w:rsid w:val="54A84571"/>
    <w:rsid w:val="54A86CC5"/>
    <w:rsid w:val="54CC3AC4"/>
    <w:rsid w:val="551B5B57"/>
    <w:rsid w:val="554527E0"/>
    <w:rsid w:val="55471D7C"/>
    <w:rsid w:val="55726062"/>
    <w:rsid w:val="55D24044"/>
    <w:rsid w:val="55D63A2F"/>
    <w:rsid w:val="55EC72E3"/>
    <w:rsid w:val="55F619BD"/>
    <w:rsid w:val="56733C92"/>
    <w:rsid w:val="568B21D2"/>
    <w:rsid w:val="56A54D00"/>
    <w:rsid w:val="56B954F6"/>
    <w:rsid w:val="56B97E10"/>
    <w:rsid w:val="572D59DF"/>
    <w:rsid w:val="575903D0"/>
    <w:rsid w:val="57C978D3"/>
    <w:rsid w:val="57FC3344"/>
    <w:rsid w:val="58235BED"/>
    <w:rsid w:val="58382B0C"/>
    <w:rsid w:val="58525638"/>
    <w:rsid w:val="5863364C"/>
    <w:rsid w:val="58661FBF"/>
    <w:rsid w:val="58BF4C0C"/>
    <w:rsid w:val="592347F7"/>
    <w:rsid w:val="594B5D12"/>
    <w:rsid w:val="598658B6"/>
    <w:rsid w:val="59CB007F"/>
    <w:rsid w:val="59E310B4"/>
    <w:rsid w:val="5A4B48C5"/>
    <w:rsid w:val="5A50339F"/>
    <w:rsid w:val="5A610EB4"/>
    <w:rsid w:val="5A7257DE"/>
    <w:rsid w:val="5A8F5B4C"/>
    <w:rsid w:val="5B27606C"/>
    <w:rsid w:val="5B3865CC"/>
    <w:rsid w:val="5B664480"/>
    <w:rsid w:val="5B90698F"/>
    <w:rsid w:val="5B927686"/>
    <w:rsid w:val="5BC43C42"/>
    <w:rsid w:val="5BEE1B90"/>
    <w:rsid w:val="5C0F765B"/>
    <w:rsid w:val="5C8955F7"/>
    <w:rsid w:val="5CC46242"/>
    <w:rsid w:val="5CCC0F4C"/>
    <w:rsid w:val="5CE650CB"/>
    <w:rsid w:val="5CF27646"/>
    <w:rsid w:val="5CF958F8"/>
    <w:rsid w:val="5D0D561B"/>
    <w:rsid w:val="5D2B0CCA"/>
    <w:rsid w:val="5D4A76DE"/>
    <w:rsid w:val="5DAA3CE9"/>
    <w:rsid w:val="5DB7476A"/>
    <w:rsid w:val="5DC23951"/>
    <w:rsid w:val="5DC7547E"/>
    <w:rsid w:val="5E231E02"/>
    <w:rsid w:val="5E6707B1"/>
    <w:rsid w:val="5E6D00DE"/>
    <w:rsid w:val="5E7B4236"/>
    <w:rsid w:val="5E8D7735"/>
    <w:rsid w:val="5EA071EF"/>
    <w:rsid w:val="5EC76785"/>
    <w:rsid w:val="5ECA0F90"/>
    <w:rsid w:val="5EF67363"/>
    <w:rsid w:val="5EF850DF"/>
    <w:rsid w:val="5F300903"/>
    <w:rsid w:val="5F435B34"/>
    <w:rsid w:val="5F73680F"/>
    <w:rsid w:val="5F7626E4"/>
    <w:rsid w:val="5F7C5534"/>
    <w:rsid w:val="5FB92848"/>
    <w:rsid w:val="5FC542AF"/>
    <w:rsid w:val="5FC554D4"/>
    <w:rsid w:val="5FCE7B72"/>
    <w:rsid w:val="5FF322EA"/>
    <w:rsid w:val="5FF32D74"/>
    <w:rsid w:val="60351D1F"/>
    <w:rsid w:val="604947DD"/>
    <w:rsid w:val="6051613D"/>
    <w:rsid w:val="60C357DF"/>
    <w:rsid w:val="60D960DD"/>
    <w:rsid w:val="60FC073A"/>
    <w:rsid w:val="61322CD7"/>
    <w:rsid w:val="613B163D"/>
    <w:rsid w:val="613D0E59"/>
    <w:rsid w:val="615B3E25"/>
    <w:rsid w:val="615E6733"/>
    <w:rsid w:val="617D019D"/>
    <w:rsid w:val="61891AF8"/>
    <w:rsid w:val="61A04C60"/>
    <w:rsid w:val="61B87FB8"/>
    <w:rsid w:val="61D7343B"/>
    <w:rsid w:val="61EB3E40"/>
    <w:rsid w:val="620557D2"/>
    <w:rsid w:val="62290B64"/>
    <w:rsid w:val="62360A4B"/>
    <w:rsid w:val="624275C4"/>
    <w:rsid w:val="625A5963"/>
    <w:rsid w:val="62682941"/>
    <w:rsid w:val="62A82172"/>
    <w:rsid w:val="62B15D8F"/>
    <w:rsid w:val="62C47A20"/>
    <w:rsid w:val="62F35F9A"/>
    <w:rsid w:val="63011A47"/>
    <w:rsid w:val="6303611C"/>
    <w:rsid w:val="632253DB"/>
    <w:rsid w:val="63345D5F"/>
    <w:rsid w:val="638906B4"/>
    <w:rsid w:val="639E125E"/>
    <w:rsid w:val="63C610A3"/>
    <w:rsid w:val="63D65347"/>
    <w:rsid w:val="642E10AC"/>
    <w:rsid w:val="64454D69"/>
    <w:rsid w:val="647D023B"/>
    <w:rsid w:val="648F6AC6"/>
    <w:rsid w:val="64C05EBF"/>
    <w:rsid w:val="64D83534"/>
    <w:rsid w:val="64E73541"/>
    <w:rsid w:val="653048C8"/>
    <w:rsid w:val="6563640C"/>
    <w:rsid w:val="657229C1"/>
    <w:rsid w:val="65742D2E"/>
    <w:rsid w:val="6580316B"/>
    <w:rsid w:val="658C022B"/>
    <w:rsid w:val="65961BC6"/>
    <w:rsid w:val="65CF2079"/>
    <w:rsid w:val="66041F35"/>
    <w:rsid w:val="66110384"/>
    <w:rsid w:val="663076E1"/>
    <w:rsid w:val="6636319D"/>
    <w:rsid w:val="664B7010"/>
    <w:rsid w:val="66545FB5"/>
    <w:rsid w:val="666F72FE"/>
    <w:rsid w:val="66846FBA"/>
    <w:rsid w:val="66C83C9B"/>
    <w:rsid w:val="66FD45E7"/>
    <w:rsid w:val="672222E3"/>
    <w:rsid w:val="675D238F"/>
    <w:rsid w:val="676536B0"/>
    <w:rsid w:val="677527F5"/>
    <w:rsid w:val="67917D7A"/>
    <w:rsid w:val="67B94CD2"/>
    <w:rsid w:val="67CB2334"/>
    <w:rsid w:val="67F400C1"/>
    <w:rsid w:val="67FE10F3"/>
    <w:rsid w:val="68504090"/>
    <w:rsid w:val="685252F3"/>
    <w:rsid w:val="68A350D5"/>
    <w:rsid w:val="68EB15CF"/>
    <w:rsid w:val="68EC7609"/>
    <w:rsid w:val="691032A9"/>
    <w:rsid w:val="692A1EFE"/>
    <w:rsid w:val="693978BA"/>
    <w:rsid w:val="693F5E5A"/>
    <w:rsid w:val="69732C1F"/>
    <w:rsid w:val="69822A5F"/>
    <w:rsid w:val="698724D1"/>
    <w:rsid w:val="698D2443"/>
    <w:rsid w:val="69975108"/>
    <w:rsid w:val="69C404DB"/>
    <w:rsid w:val="69F11D17"/>
    <w:rsid w:val="6A325533"/>
    <w:rsid w:val="6A4357E7"/>
    <w:rsid w:val="6A6D6393"/>
    <w:rsid w:val="6A983952"/>
    <w:rsid w:val="6AA238E5"/>
    <w:rsid w:val="6AA95F41"/>
    <w:rsid w:val="6AFA602B"/>
    <w:rsid w:val="6B05496B"/>
    <w:rsid w:val="6B141DC3"/>
    <w:rsid w:val="6B172BBF"/>
    <w:rsid w:val="6B1C3BBC"/>
    <w:rsid w:val="6B2357D5"/>
    <w:rsid w:val="6B574E34"/>
    <w:rsid w:val="6B832DD4"/>
    <w:rsid w:val="6B891231"/>
    <w:rsid w:val="6B96736B"/>
    <w:rsid w:val="6BB1224B"/>
    <w:rsid w:val="6BE05693"/>
    <w:rsid w:val="6C153FFC"/>
    <w:rsid w:val="6C8E2FCA"/>
    <w:rsid w:val="6CA10106"/>
    <w:rsid w:val="6CBC7734"/>
    <w:rsid w:val="6CFD11D7"/>
    <w:rsid w:val="6D126E2A"/>
    <w:rsid w:val="6D4E76A4"/>
    <w:rsid w:val="6D647D37"/>
    <w:rsid w:val="6D8302BD"/>
    <w:rsid w:val="6DE84339"/>
    <w:rsid w:val="6DF00FBC"/>
    <w:rsid w:val="6DF80DED"/>
    <w:rsid w:val="6E6611F9"/>
    <w:rsid w:val="6E785C56"/>
    <w:rsid w:val="6E8F6515"/>
    <w:rsid w:val="6E93321F"/>
    <w:rsid w:val="6EA83401"/>
    <w:rsid w:val="6EC9075C"/>
    <w:rsid w:val="6EE734D3"/>
    <w:rsid w:val="6F1C3E8A"/>
    <w:rsid w:val="6F8C715A"/>
    <w:rsid w:val="6F907792"/>
    <w:rsid w:val="6FA329BA"/>
    <w:rsid w:val="6FA977A8"/>
    <w:rsid w:val="70026FD0"/>
    <w:rsid w:val="701C6A8A"/>
    <w:rsid w:val="702A0FBE"/>
    <w:rsid w:val="702B3BC3"/>
    <w:rsid w:val="709B1848"/>
    <w:rsid w:val="70F211C3"/>
    <w:rsid w:val="71053ACA"/>
    <w:rsid w:val="71231EAD"/>
    <w:rsid w:val="715D57FB"/>
    <w:rsid w:val="71693683"/>
    <w:rsid w:val="71730FAA"/>
    <w:rsid w:val="71DE14F4"/>
    <w:rsid w:val="72024574"/>
    <w:rsid w:val="72195D45"/>
    <w:rsid w:val="72513447"/>
    <w:rsid w:val="72990665"/>
    <w:rsid w:val="72AA6762"/>
    <w:rsid w:val="72AC4568"/>
    <w:rsid w:val="72C15508"/>
    <w:rsid w:val="72E9619C"/>
    <w:rsid w:val="72F808C9"/>
    <w:rsid w:val="730347ED"/>
    <w:rsid w:val="73061860"/>
    <w:rsid w:val="73072317"/>
    <w:rsid w:val="7313658D"/>
    <w:rsid w:val="73184276"/>
    <w:rsid w:val="732A2130"/>
    <w:rsid w:val="73314EEE"/>
    <w:rsid w:val="737B6F94"/>
    <w:rsid w:val="73AF066E"/>
    <w:rsid w:val="73D10A97"/>
    <w:rsid w:val="73F24854"/>
    <w:rsid w:val="74044D2B"/>
    <w:rsid w:val="74205196"/>
    <w:rsid w:val="742C07A2"/>
    <w:rsid w:val="743E3E18"/>
    <w:rsid w:val="745049CA"/>
    <w:rsid w:val="74807EFD"/>
    <w:rsid w:val="749734EB"/>
    <w:rsid w:val="74A53E35"/>
    <w:rsid w:val="74A70A93"/>
    <w:rsid w:val="74F31E3C"/>
    <w:rsid w:val="75366B84"/>
    <w:rsid w:val="75417E89"/>
    <w:rsid w:val="75B071B8"/>
    <w:rsid w:val="76576FE6"/>
    <w:rsid w:val="76752EA4"/>
    <w:rsid w:val="76986E35"/>
    <w:rsid w:val="769E3FC0"/>
    <w:rsid w:val="76C50BCD"/>
    <w:rsid w:val="77012356"/>
    <w:rsid w:val="77053EAD"/>
    <w:rsid w:val="770F2A36"/>
    <w:rsid w:val="77314D9C"/>
    <w:rsid w:val="773372B0"/>
    <w:rsid w:val="77D83516"/>
    <w:rsid w:val="77DB037A"/>
    <w:rsid w:val="77EE6533"/>
    <w:rsid w:val="780F010E"/>
    <w:rsid w:val="78181599"/>
    <w:rsid w:val="783E0954"/>
    <w:rsid w:val="78681E47"/>
    <w:rsid w:val="78715C82"/>
    <w:rsid w:val="787C59A6"/>
    <w:rsid w:val="787D48F9"/>
    <w:rsid w:val="789825FD"/>
    <w:rsid w:val="78AD3C81"/>
    <w:rsid w:val="78DA2333"/>
    <w:rsid w:val="78DF02C5"/>
    <w:rsid w:val="790D7A55"/>
    <w:rsid w:val="792E0707"/>
    <w:rsid w:val="79376001"/>
    <w:rsid w:val="79594EE1"/>
    <w:rsid w:val="79971E6F"/>
    <w:rsid w:val="79DB5100"/>
    <w:rsid w:val="7A416FE9"/>
    <w:rsid w:val="7A944EA0"/>
    <w:rsid w:val="7AA2071F"/>
    <w:rsid w:val="7AE30B9C"/>
    <w:rsid w:val="7AFB385E"/>
    <w:rsid w:val="7B126D2A"/>
    <w:rsid w:val="7B161890"/>
    <w:rsid w:val="7B171DA1"/>
    <w:rsid w:val="7B2B0E4E"/>
    <w:rsid w:val="7B392892"/>
    <w:rsid w:val="7B915F36"/>
    <w:rsid w:val="7B9C72B3"/>
    <w:rsid w:val="7BFE4222"/>
    <w:rsid w:val="7C6A3418"/>
    <w:rsid w:val="7C7D27DF"/>
    <w:rsid w:val="7CA53F52"/>
    <w:rsid w:val="7CBB1893"/>
    <w:rsid w:val="7CC42531"/>
    <w:rsid w:val="7CD82FF9"/>
    <w:rsid w:val="7D0254C0"/>
    <w:rsid w:val="7D1803B0"/>
    <w:rsid w:val="7D2C7570"/>
    <w:rsid w:val="7D6B30E0"/>
    <w:rsid w:val="7D794478"/>
    <w:rsid w:val="7D995482"/>
    <w:rsid w:val="7DDB139B"/>
    <w:rsid w:val="7E2C4A98"/>
    <w:rsid w:val="7E4C0E59"/>
    <w:rsid w:val="7E6B2D5C"/>
    <w:rsid w:val="7E732639"/>
    <w:rsid w:val="7E9E7BC8"/>
    <w:rsid w:val="7EDF312F"/>
    <w:rsid w:val="7EE85B9C"/>
    <w:rsid w:val="7F1932C6"/>
    <w:rsid w:val="7F472572"/>
    <w:rsid w:val="7F57116C"/>
    <w:rsid w:val="7FE32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Times New Roman" w:hAnsi="Times New Roman" w:eastAsia="仿宋_GB2312" w:cs="黑体"/>
      <w:kern w:val="2"/>
      <w:sz w:val="32"/>
      <w:szCs w:val="22"/>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5">
    <w:name w:val="Default Paragraph Font"/>
    <w:semiHidden/>
    <w:unhideWhenUsed/>
    <w:qFormat/>
    <w:uiPriority w:val="1"/>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semiHidden/>
    <w:qFormat/>
    <w:uiPriority w:val="0"/>
    <w:rPr>
      <w:rFonts w:ascii="新宋体" w:hAnsi="新宋体" w:eastAsia="新宋体" w:cs="新宋体"/>
      <w:sz w:val="42"/>
      <w:szCs w:val="42"/>
      <w:lang w:eastAsia="en-US"/>
    </w:rPr>
  </w:style>
  <w:style w:type="paragraph" w:styleId="5">
    <w:name w:val="toc 3"/>
    <w:basedOn w:val="1"/>
    <w:next w:val="1"/>
    <w:qFormat/>
    <w:uiPriority w:val="0"/>
    <w:pPr>
      <w:ind w:left="840" w:leftChars="400"/>
    </w:pPr>
  </w:style>
  <w:style w:type="paragraph" w:styleId="6">
    <w:name w:val="Date"/>
    <w:basedOn w:val="1"/>
    <w:next w:val="1"/>
    <w:link w:val="28"/>
    <w:qFormat/>
    <w:uiPriority w:val="0"/>
    <w:pPr>
      <w:ind w:left="100" w:leftChars="2500"/>
    </w:pPr>
  </w:style>
  <w:style w:type="paragraph" w:styleId="7">
    <w:name w:val="Balloon Text"/>
    <w:basedOn w:val="1"/>
    <w:link w:val="18"/>
    <w:qFormat/>
    <w:uiPriority w:val="0"/>
    <w:pPr>
      <w:spacing w:line="240" w:lineRule="auto"/>
    </w:pPr>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link w:val="20"/>
    <w:unhideWhenUsed/>
    <w:qFormat/>
    <w:uiPriority w:val="99"/>
    <w:pPr>
      <w:widowControl w:val="0"/>
      <w:pBdr>
        <w:bottom w:val="single" w:color="auto" w:sz="6" w:space="1"/>
      </w:pBdr>
      <w:tabs>
        <w:tab w:val="center" w:pos="4153"/>
        <w:tab w:val="right" w:pos="8306"/>
      </w:tabs>
      <w:snapToGrid w:val="0"/>
      <w:spacing w:line="560" w:lineRule="exact"/>
      <w:ind w:firstLine="200" w:firstLineChars="200"/>
      <w:jc w:val="center"/>
    </w:pPr>
    <w:rPr>
      <w:rFonts w:ascii="Times New Roman" w:hAnsi="Times New Roman" w:eastAsia="仿宋_GB2312" w:cs="黑体"/>
      <w:kern w:val="2"/>
      <w:sz w:val="18"/>
      <w:szCs w:val="18"/>
      <w:lang w:val="en-US" w:eastAsia="zh-CN" w:bidi="ar-SA"/>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6">
    <w:name w:val="Strong"/>
    <w:basedOn w:val="15"/>
    <w:qFormat/>
    <w:uiPriority w:val="0"/>
    <w:rPr>
      <w:b/>
    </w:rPr>
  </w:style>
  <w:style w:type="character" w:styleId="17">
    <w:name w:val="Hyperlink"/>
    <w:basedOn w:val="15"/>
    <w:qFormat/>
    <w:uiPriority w:val="0"/>
    <w:rPr>
      <w:color w:val="0000FF"/>
      <w:u w:val="single"/>
    </w:rPr>
  </w:style>
  <w:style w:type="character" w:customStyle="1" w:styleId="18">
    <w:name w:val="批注框文本 Char"/>
    <w:basedOn w:val="15"/>
    <w:link w:val="7"/>
    <w:qFormat/>
    <w:uiPriority w:val="0"/>
    <w:rPr>
      <w:rFonts w:ascii="Times New Roman" w:hAnsi="Times New Roman" w:eastAsia="仿宋_GB2312" w:cs="黑体"/>
      <w:kern w:val="2"/>
      <w:sz w:val="18"/>
      <w:szCs w:val="18"/>
    </w:rPr>
  </w:style>
  <w:style w:type="character" w:customStyle="1" w:styleId="19">
    <w:name w:val="页脚 Char"/>
    <w:basedOn w:val="15"/>
    <w:link w:val="8"/>
    <w:qFormat/>
    <w:uiPriority w:val="99"/>
    <w:rPr>
      <w:rFonts w:ascii="Times New Roman" w:hAnsi="Times New Roman" w:eastAsia="仿宋_GB2312" w:cs="黑体"/>
      <w:kern w:val="2"/>
      <w:sz w:val="18"/>
      <w:szCs w:val="18"/>
    </w:rPr>
  </w:style>
  <w:style w:type="character" w:customStyle="1" w:styleId="20">
    <w:name w:val="页眉 Char"/>
    <w:basedOn w:val="15"/>
    <w:link w:val="9"/>
    <w:qFormat/>
    <w:uiPriority w:val="99"/>
    <w:rPr>
      <w:rFonts w:ascii="Times New Roman" w:hAnsi="Times New Roman" w:eastAsia="仿宋_GB2312" w:cs="黑体"/>
      <w:kern w:val="2"/>
      <w:sz w:val="18"/>
      <w:szCs w:val="18"/>
    </w:rPr>
  </w:style>
  <w:style w:type="character" w:customStyle="1" w:styleId="21">
    <w:name w:val="15"/>
    <w:basedOn w:val="15"/>
    <w:qFormat/>
    <w:uiPriority w:val="0"/>
    <w:rPr>
      <w:rFonts w:hint="eastAsia" w:ascii="宋体" w:hAnsi="宋体" w:eastAsia="宋体"/>
      <w:color w:val="000000"/>
      <w:sz w:val="22"/>
      <w:szCs w:val="22"/>
    </w:rPr>
  </w:style>
  <w:style w:type="paragraph" w:customStyle="1" w:styleId="22">
    <w:name w:val="正文3"/>
    <w:qFormat/>
    <w:uiPriority w:val="0"/>
    <w:pPr>
      <w:jc w:val="both"/>
    </w:pPr>
    <w:rPr>
      <w:rFonts w:ascii="等线" w:hAnsi="等线" w:eastAsia="宋体" w:cs="宋体"/>
      <w:kern w:val="2"/>
      <w:sz w:val="21"/>
      <w:szCs w:val="21"/>
      <w:lang w:val="en-US" w:eastAsia="zh-CN" w:bidi="ar-SA"/>
    </w:rPr>
  </w:style>
  <w:style w:type="paragraph" w:customStyle="1" w:styleId="2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4">
    <w:name w:val="标准文件_术语条一"/>
    <w:basedOn w:val="25"/>
    <w:next w:val="23"/>
    <w:qFormat/>
    <w:uiPriority w:val="0"/>
  </w:style>
  <w:style w:type="paragraph" w:customStyle="1" w:styleId="25">
    <w:name w:val="标准文件_一级无标题"/>
    <w:basedOn w:val="26"/>
    <w:qFormat/>
    <w:uiPriority w:val="0"/>
    <w:pPr>
      <w:spacing w:before="0" w:beforeLines="0" w:after="0" w:afterLines="0"/>
      <w:outlineLvl w:val="9"/>
    </w:pPr>
    <w:rPr>
      <w:rFonts w:ascii="宋体" w:eastAsia="宋体"/>
    </w:rPr>
  </w:style>
  <w:style w:type="paragraph" w:customStyle="1" w:styleId="26">
    <w:name w:val="标准文件_一级条标题"/>
    <w:basedOn w:val="27"/>
    <w:next w:val="23"/>
    <w:qFormat/>
    <w:uiPriority w:val="0"/>
    <w:pPr>
      <w:numPr>
        <w:ilvl w:val="2"/>
      </w:numPr>
      <w:spacing w:before="50" w:beforeLines="50" w:after="50" w:afterLines="50"/>
      <w:outlineLvl w:val="1"/>
    </w:pPr>
  </w:style>
  <w:style w:type="paragraph" w:customStyle="1" w:styleId="27">
    <w:name w:val="标准文件_章标题"/>
    <w:next w:val="23"/>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character" w:customStyle="1" w:styleId="28">
    <w:name w:val="日期 Char"/>
    <w:basedOn w:val="15"/>
    <w:link w:val="6"/>
    <w:qFormat/>
    <w:uiPriority w:val="0"/>
    <w:rPr>
      <w:rFonts w:eastAsia="仿宋_GB2312" w:cs="黑体"/>
      <w:kern w:val="2"/>
      <w:sz w:val="3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jpeg"/><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833</Words>
  <Characters>856</Characters>
  <Lines>49</Lines>
  <Paragraphs>13</Paragraphs>
  <TotalTime>17</TotalTime>
  <ScaleCrop>false</ScaleCrop>
  <LinksUpToDate>false</LinksUpToDate>
  <CharactersWithSpaces>860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2025-03-21T00:51:00Z</dcterms:created>
  <dc:creator>爱你绝恋</dc:creator>
  <cp:lastModifiedBy>大鹏</cp:lastModifiedBy>
  <cp:lastPrinted>2024-10-25T03:03:00Z</cp:lastPrinted>
  <dcterms:modified xsi:type="dcterms:W3CDTF">2025-06-11T00:45:41Z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A31C066127B44153AA487E5A67CDA348_13</vt:lpwstr>
  </property>
  <property fmtid="{D5CDD505-2E9C-101B-9397-08002B2CF9AE}" pid="4" name="KSOTemplateDocerSaveRecord">
    <vt:lpwstr>eyJoZGlkIjoiNGY0Yjc2YWZkM2E1ZmUxOTU5NGI5MWMxZDVjMzMwZTYiLCJ1c2VySWQiOiIzODUyOTU2NjQifQ==</vt:lpwstr>
  </property>
</Properties>
</file>